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3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5EF45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1CEF2F">
            <w:pPr>
              <w:pStyle w:val="125"/>
              <w:keepNext w:val="0"/>
              <w:keepLines w:val="0"/>
              <w:framePr w:hSpace="180" w:vSpace="180" w:wrap="around" w:vAnchor="margin" w:hAnchor="margin" w:y="1" w:anchorLock="1"/>
              <w:suppressLineNumbers w:val="0"/>
              <w:spacing w:before="0" w:beforeAutospacing="0" w:after="0" w:afterAutospacing="0"/>
              <w:ind w:left="0" w:right="0"/>
              <w:rPr>
                <w:rFonts w:hint="eastAsia" w:hAnsi="Times New Roman" w:cs="Times New Roman"/>
              </w:rPr>
            </w:pPr>
            <w:r>
              <w:rPr>
                <w:rFonts w:hint="eastAsia" w:hAnsi="Times New Roman" w:cs="Times New Roman"/>
              </w:rPr>
              <w:t>ICS XX.XXX.XX</w:t>
            </w:r>
          </w:p>
        </w:tc>
      </w:tr>
    </w:tbl>
    <w:p w14:paraId="3E8A2AB5"/>
    <w:tbl>
      <w:tblPr>
        <w:tblStyle w:val="33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6D92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4DA757">
            <w:pPr>
              <w:pStyle w:val="78"/>
              <w:keepNext w:val="0"/>
              <w:keepLines w:val="0"/>
              <w:framePr w:w="9140" w:h="1242" w:hRule="exact" w:hSpace="284" w:wrap="around" w:vAnchor="page" w:hAnchor="page" w:x="1645" w:y="2910" w:anchorLock="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hAnsi="Times New Roman" w:eastAsia="宋体" w:cs="Times New Roman"/>
              </w:rPr>
            </w:pPr>
          </w:p>
        </w:tc>
      </w:tr>
    </w:tbl>
    <w:p w14:paraId="422AAA0D">
      <w:pPr>
        <w:pStyle w:val="50"/>
        <w:framePr w:w="9140" w:h="1242" w:hRule="exact" w:hSpace="284" w:wrap="around" w:vAnchor="page" w:hAnchor="page" w:x="1645" w:y="2910" w:anchorLock="1"/>
      </w:pPr>
    </w:p>
    <w:p w14:paraId="5C31B0D9">
      <w:pPr>
        <w:pStyle w:val="50"/>
        <w:framePr w:w="9140" w:h="1242" w:hRule="exact" w:hSpace="284" w:wrap="around" w:vAnchor="page" w:hAnchor="page" w:x="1645" w:y="2910" w:anchorLock="1"/>
      </w:pPr>
    </w:p>
    <w:p w14:paraId="19A1AEAD">
      <w:pPr>
        <w:pStyle w:val="80"/>
        <w:framePr w:w="9639" w:h="6917" w:hRule="exact" w:wrap="around" w:vAnchor="page" w:hAnchor="page" w:xAlign="center" w:y="6408" w:anchorLock="1"/>
        <w:rPr>
          <w:rFonts w:hint="eastAsia"/>
        </w:rPr>
      </w:pPr>
      <w:r>
        <w:rPr>
          <w:rFonts w:hint="eastAsia"/>
        </w:rPr>
        <w:t>香紫苏内酯</w:t>
      </w:r>
    </w:p>
    <w:tbl>
      <w:tblPr>
        <w:tblStyle w:val="33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0487C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383307">
            <w:pPr>
              <w:pStyle w:val="81"/>
              <w:keepNext w:val="0"/>
              <w:keepLines w:val="0"/>
              <w:framePr w:w="9639" w:h="6917" w:hRule="exact" w:wrap="around" w:vAnchor="page" w:hAnchor="page" w:xAlign="center" w:y="6408" w:anchorLock="1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 w:ascii="Times New Roman" w:hAnsi="Times New Roman" w:eastAsia="黑体" w:cs="Times New Roman"/>
                <w:kern w:val="144"/>
                <w:sz w:val="36"/>
                <w:szCs w:val="36"/>
              </w:rPr>
              <w:t>Sclareolide</w:t>
            </w: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12700"/>
                      <wp:wrapNone/>
                      <wp:docPr id="3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0912E4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" o:spid="_x0000_s1026" o:spt="1" style="position:absolute;left:0pt;margin-left:173.3pt;margin-top:337.15pt;height:20pt;width:150pt;z-index:-251655168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/X9+DXAAAACwEAAA8AAAAAAAAAAQAgAAAAIgAAAGRycy9kb3ducmV2LnhtbFBL&#10;AQIUABQAAAAIAIdO4kDateTuvgEAAHgDAAAOAAAAAAAAAAEAIAAAACYBAABkcnMvZTJvRG9jLnht&#10;bFBLBQYAAAAABgAGAFkBAABW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0912E4B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14:paraId="7B16D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394485">
            <w:pPr>
              <w:pStyle w:val="84"/>
              <w:keepNext w:val="0"/>
              <w:keepLines w:val="0"/>
              <w:framePr w:w="9639" w:h="6917" w:hRule="exact" w:wrap="around" w:vAnchor="page" w:hAnchor="page" w:xAlign="center" w:y="6408" w:anchorLock="1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</w:p>
          <w:p w14:paraId="00E9EE55">
            <w:pPr>
              <w:pStyle w:val="84"/>
              <w:keepNext w:val="0"/>
              <w:keepLines w:val="0"/>
              <w:pageBreakBefore w:val="0"/>
              <w:framePr w:w="9639" w:h="6917" w:hRule="exact" w:wrap="around" w:vAnchor="page" w:hAnchor="page" w:xAlign="center" w:y="6408" w:anchorLock="1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720" w:lineRule="auto"/>
              <w:ind w:left="0" w:right="0"/>
              <w:textAlignment w:val="center"/>
              <w:rPr>
                <w:rFonts w:hint="eastAsia"/>
                <w:sz w:val="28"/>
                <w:szCs w:val="36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>(征求意见稿）</w:t>
            </w:r>
          </w:p>
          <w:p w14:paraId="610D230B">
            <w:pPr>
              <w:pStyle w:val="84"/>
              <w:keepNext w:val="0"/>
              <w:keepLines w:val="0"/>
              <w:framePr w:w="9639" w:h="6917" w:hRule="exact" w:wrap="around" w:vAnchor="page" w:hAnchor="page" w:xAlign="center" w:y="6408" w:anchorLock="1"/>
              <w:suppressLineNumbers w:val="0"/>
              <w:spacing w:beforeAutospacing="0" w:after="0" w:afterAutospacing="0"/>
              <w:ind w:left="0" w:right="0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</w:tr>
    </w:tbl>
    <w:p w14:paraId="114FF8D3">
      <w:pPr>
        <w:pStyle w:val="132"/>
        <w:framePr w:w="3997" w:h="471" w:hRule="exact" w:vSpace="181" w:wrap="around" w:vAnchor="page" w:hAnchor="page" w:x="1276" w:y="14056" w:anchorLock="1"/>
      </w:pPr>
      <w:r>
        <w:rPr>
          <w:rFonts w:hint="eastAsia" w:ascii="黑体"/>
        </w:rPr>
        <w:t>XXXX</w:t>
      </w:r>
      <w:r>
        <w:rPr>
          <w:rFonts w:ascii="黑体"/>
        </w:rPr>
        <w:t>-</w:t>
      </w:r>
      <w:r>
        <w:rPr>
          <w:rFonts w:hint="eastAsia" w:ascii="黑体"/>
        </w:rPr>
        <w:t>XX</w:t>
      </w:r>
      <w:r>
        <w:rPr>
          <w:rFonts w:ascii="黑体"/>
        </w:rPr>
        <w:t>-</w:t>
      </w:r>
      <w:r>
        <w:rPr>
          <w:rFonts w:hint="eastAsia" w:ascii="黑体"/>
        </w:rPr>
        <w:t>XX</w:t>
      </w:r>
      <w:r>
        <w:rPr>
          <w:rFonts w:hint="eastAsia"/>
        </w:rPr>
        <w:t>发布</w: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-8255</wp:posOffset>
                </wp:positionH>
                <wp:positionV relativeFrom="page">
                  <wp:posOffset>9271000</wp:posOffset>
                </wp:positionV>
                <wp:extent cx="6120130" cy="635"/>
                <wp:effectExtent l="0" t="0" r="0" b="0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0.65pt;margin-top:730pt;height:0.05pt;width:481.9pt;mso-position-vertical-relative:page;z-index:251663360;mso-width-relative:page;mso-height-relative:page;" filled="f" stroked="t" coordsize="21600,21600" o:gfxdata="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UA9kNcA&#10;AAAMAQAADwAAAAAAAAABACAAAAAiAAAAZHJzL2Rvd25yZXYueG1sUEsBAhQAFAAAAAgAh07iQL09&#10;psjnAQAA3Q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2F955B63">
      <w:pPr>
        <w:pStyle w:val="133"/>
        <w:framePr w:w="3997" w:h="471" w:hRule="exact" w:vSpace="181" w:wrap="around" w:vAnchor="page" w:hAnchor="page" w:x="6976" w:y="14011" w:anchorLock="1"/>
      </w:pPr>
      <w:r>
        <w:rPr>
          <w:rFonts w:hint="eastAsia" w:ascii="黑体"/>
        </w:rPr>
        <w:t>XXXX</w:t>
      </w:r>
      <w:r>
        <w:rPr>
          <w:rFonts w:ascii="黑体"/>
        </w:rPr>
        <w:t>-</w:t>
      </w:r>
      <w:r>
        <w:rPr>
          <w:rFonts w:hint="eastAsia" w:ascii="黑体"/>
        </w:rPr>
        <w:t>XX</w:t>
      </w:r>
      <w:r>
        <w:rPr>
          <w:rFonts w:ascii="黑体"/>
        </w:rPr>
        <w:t>-</w:t>
      </w:r>
      <w:r>
        <w:rPr>
          <w:rFonts w:hint="eastAsia" w:ascii="黑体" w:hAnsi="黑体"/>
        </w:rPr>
        <w:t>XX</w:t>
      </w:r>
      <w:r>
        <w:rPr>
          <w:rFonts w:hint="eastAsia"/>
        </w:rPr>
        <w:t>实施</w:t>
      </w:r>
    </w:p>
    <w:p w14:paraId="2D15BEC1">
      <w:pPr>
        <w:pStyle w:val="113"/>
        <w:framePr w:w="7938" w:h="1134" w:hRule="exact" w:hSpace="125" w:vSpace="181" w:wrap="around" w:vAnchor="page" w:hAnchor="page" w:x="2150" w:y="15310" w:anchorLock="1"/>
      </w:pPr>
      <w:bookmarkStart w:id="0" w:name="fm"/>
      <w:r>
        <w:rPr>
          <w:w w:val="1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5435"/>
                <wp:effectExtent l="0" t="0" r="6350" b="18415"/>
                <wp:wrapNone/>
                <wp:docPr id="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CF151B4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42.55pt;margin-top:-310.45pt;height:24.05pt;width:100pt;z-index:-251656192;mso-width-relative:page;mso-height-relative:page;" fillcolor="#FFFFFF" filled="t" stroked="f" coordsize="21600,21600" o:gfxdata="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E1DAHZAAAADQEAAA8AAAAAAAAAAQAgAAAAIgAAAGRycy9kb3ducmV2Lnht&#10;bFBLAQIUABQAAAAIAIdO4kD6o3B1vwEAAHgDAAAOAAAAAAAAAAEAIAAAACgBAABkcnMvZTJvRG9j&#10;LnhtbFBLBQYAAAAABgAGAFkBAABZ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CF151B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w w:val="1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9235"/>
                <wp:effectExtent l="0" t="0" r="0" b="18415"/>
                <wp:wrapNone/>
                <wp:docPr id="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0D55E3E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347.55pt;margin-top:-585.45pt;height:18.05pt;width:90pt;z-index:-251657216;mso-width-relative:page;mso-height-relative:page;" fillcolor="#FFFFFF" filled="t" stroked="f" coordsize="21600,21600" o:gfxdata="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HSWjG2wAAAA8BAAAPAAAAAAAAAAEAIAAAACIAAABkcnMvZG93bnJl&#10;di54bWxQSwECFAAUAAAACACHTuJAv6o/7MEBAAB4AwAADgAAAAAAAAABACAAAAAq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0D55E3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w w:val="1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1270"/>
                <wp:effectExtent l="0" t="0" r="0" b="0"/>
                <wp:wrapNone/>
                <wp:docPr id="6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-36.6pt;margin-top:-552.85pt;height:0.1pt;width:481.9pt;z-index:251664384;mso-width-relative:page;mso-height-relative:page;" filled="f" stroked="t" coordsize="21600,21600" o:gfxdata="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ojJdTaAAAADwEAAA8AAAAAAAAAAQAgAAAAIgAAAGRycy9kb3ducmV2LnhtbFBLAQIUABQAAAAI&#10;AIdO4kCojEv66wEAAN4DAAAOAAAAAAAAAAEAIAAAAC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sz w:val="30"/>
          <w:szCs w:val="30"/>
        </w:rPr>
        <w:fldChar w:fldCharType="begin">
          <w:ffData>
            <w:enabled/>
            <w:calcOnExit w:val="0"/>
            <w:textInput/>
          </w:ffData>
        </w:fldChar>
      </w:r>
      <w:r>
        <w:rPr>
          <w:sz w:val="30"/>
          <w:szCs w:val="30"/>
        </w:rPr>
        <w:instrText xml:space="preserve"> FORMTEXT </w:instrText>
      </w:r>
      <w:r>
        <w:rPr>
          <w:sz w:val="30"/>
          <w:szCs w:val="30"/>
        </w:rPr>
        <w:fldChar w:fldCharType="separate"/>
      </w:r>
      <w:r>
        <w:rPr>
          <w:rFonts w:hint="eastAsia"/>
          <w:sz w:val="30"/>
          <w:szCs w:val="30"/>
        </w:rPr>
        <w:t>中国香料香精化妆品工业协会</w:t>
      </w:r>
      <w:r>
        <w:rPr>
          <w:sz w:val="30"/>
          <w:szCs w:val="30"/>
        </w:rPr>
        <w:fldChar w:fldCharType="end"/>
      </w:r>
      <w:r>
        <w:rPr>
          <w:sz w:val="30"/>
          <w:szCs w:val="30"/>
        </w:rPr>
        <w:t> </w:t>
      </w:r>
      <w:r>
        <w:t>  </w:t>
      </w:r>
    </w:p>
    <w:p w14:paraId="0FA678A4">
      <w:pPr>
        <w:pStyle w:val="125"/>
        <w:framePr w:hSpace="180" w:vSpace="180" w:wrap="around" w:vAnchor="margin" w:hAnchor="margin" w:y="1" w:anchorLock="1"/>
      </w:pPr>
    </w:p>
    <w:p w14:paraId="49F0EF9D">
      <w:pPr>
        <w:pStyle w:val="112"/>
        <w:framePr w:hSpace="181" w:vSpace="181" w:wrap="around" w:vAnchor="page" w:hAnchor="page" w:x="1419" w:y="2286" w:anchorLock="1"/>
        <w:ind w:left="1275" w:leftChars="607" w:right="1270" w:rightChars="605"/>
      </w:pPr>
      <w:r>
        <w:rPr>
          <w:rFonts w:hint="eastAsia"/>
          <w:sz w:val="56"/>
          <w:szCs w:val="56"/>
        </w:rPr>
        <w:t>团体标准</w:t>
      </w:r>
    </w:p>
    <w:p w14:paraId="1AF47749">
      <w:pPr>
        <w:pStyle w:val="50"/>
        <w:framePr w:w="9140" w:h="1242" w:hRule="exact" w:hSpace="284" w:wrap="around" w:vAnchor="page" w:hAnchor="page" w:x="1659" w:y="2910" w:anchorLock="1"/>
        <w:rPr>
          <w:rFonts w:hAnsi="黑体"/>
        </w:rPr>
      </w:pPr>
      <w:r>
        <w:rPr>
          <w:rFonts w:hint="eastAsia" w:hAnsi="黑体"/>
        </w:rPr>
        <w:t>T</w:t>
      </w:r>
      <w:r>
        <w:rPr>
          <w:rFonts w:ascii="Times New Roman"/>
        </w:rPr>
        <w:t>/</w:t>
      </w:r>
      <w:r>
        <w:rPr>
          <w:rFonts w:hint="eastAsia" w:hAnsi="黑体"/>
        </w:rPr>
        <w:t xml:space="preserve">CAFFCI </w:t>
      </w:r>
      <w:r>
        <w:rPr>
          <w:rFonts w:hAnsi="黑体"/>
        </w:rPr>
        <w:fldChar w:fldCharType="begin">
          <w:ffData>
            <w:enabled/>
            <w:calcOnExit w:val="0"/>
            <w:textInput/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int="eastAsia" w:hAnsi="黑体"/>
        </w:rPr>
        <w:t>-2024</w:t>
      </w:r>
    </w:p>
    <w:tbl>
      <w:tblPr>
        <w:tblStyle w:val="33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5D0F5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4CB125">
            <w:pPr>
              <w:pStyle w:val="78"/>
              <w:keepNext w:val="0"/>
              <w:keepLines w:val="0"/>
              <w:framePr w:w="9140" w:h="1242" w:hRule="exact" w:hSpace="284" w:wrap="around" w:vAnchor="page" w:hAnchor="page" w:x="1659" w:y="2910" w:anchorLock="1"/>
              <w:widowControl/>
              <w:suppressLineNumbers w:val="0"/>
              <w:wordWrap w:val="0"/>
              <w:spacing w:beforeAutospacing="0" w:after="0" w:afterAutospacing="0"/>
              <w:ind w:left="0" w:right="0"/>
              <w:rPr>
                <w:rFonts w:hint="default" w:hAnsi="Times New Roman" w:eastAsia="宋体" w:cs="Times New Roman"/>
              </w:rPr>
            </w:pPr>
            <w:r>
              <w:rPr>
                <w:rFonts w:hint="default" w:hAnsi="Times New Roman" w:eastAsia="宋体" w:cs="Times New Roman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4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44E02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7" o:spid="_x0000_s1026" o:spt="1" style="position:absolute;left:0pt;margin-left:372.8pt;margin-top:2.7pt;height:18pt;width:90pt;z-index:-251654144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5g8svWAAAACAEAAA8AAAAAAAAAAQAgAAAAIgAAAGRycy9kb3ducmV2LnhtbFBL&#10;AQIUABQAAAAIAIdO4kBYhSLlvwEAAHgDAAAOAAAAAAAAAAEAIAAAACUBAABkcnMvZTJvRG9jLnht&#10;bFBLBQYAAAAABgAGAFkBAABW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44E02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7F9782F0">
      <w:pPr>
        <w:pStyle w:val="25"/>
        <w:sectPr>
          <w:pgSz w:w="11906" w:h="16838"/>
          <w:pgMar w:top="567" w:right="850" w:bottom="1134" w:left="1418" w:header="0" w:footer="0" w:gutter="0"/>
          <w:pgNumType w:start="1"/>
          <w:cols w:space="720" w:num="1"/>
          <w:docGrid w:type="lines" w:linePitch="312" w:charSpace="0"/>
        </w:sectPr>
      </w:pPr>
    </w:p>
    <w:p w14:paraId="71E2AE1E">
      <w:pPr>
        <w:pStyle w:val="114"/>
      </w:pPr>
      <w:r>
        <w:rPr>
          <w:rFonts w:hint="eastAsia"/>
        </w:rPr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14:paraId="5E6065AC">
      <w:pPr>
        <w:pStyle w:val="25"/>
        <w:rPr>
          <w:rFonts w:hAnsi="宋体"/>
        </w:rPr>
      </w:pPr>
      <w:r>
        <w:rPr>
          <w:rFonts w:hint="eastAsia" w:hAnsi="宋体"/>
        </w:rPr>
        <w:t>本标准按照 GB/T 1.1-20</w:t>
      </w:r>
      <w:r>
        <w:rPr>
          <w:rFonts w:hAnsi="宋体"/>
        </w:rPr>
        <w:t>20</w:t>
      </w:r>
      <w:r>
        <w:rPr>
          <w:rFonts w:hint="eastAsia" w:hAnsi="宋体"/>
        </w:rPr>
        <w:t>《标准化工作导则 第一部分：标准化文件的结构和起草规则》的规则起草。</w:t>
      </w:r>
    </w:p>
    <w:p w14:paraId="1403EBC0">
      <w:pPr>
        <w:pStyle w:val="25"/>
        <w:rPr>
          <w:rFonts w:hAnsi="宋体"/>
        </w:rPr>
      </w:pPr>
      <w:r>
        <w:rPr>
          <w:rFonts w:hint="eastAsia" w:hAnsi="宋体"/>
        </w:rPr>
        <w:t>本标准由中国香料香精化妆品工业协会提出并归口。</w:t>
      </w:r>
    </w:p>
    <w:p w14:paraId="746B0F73">
      <w:pPr>
        <w:numPr>
          <w:ilvl w:val="0"/>
          <w:numId w:val="0"/>
        </w:numPr>
        <w:ind w:firstLine="420" w:firstLineChars="200"/>
        <w:rPr>
          <w:rFonts w:hAnsi="宋体"/>
          <w:szCs w:val="21"/>
        </w:rPr>
      </w:pPr>
      <w:r>
        <w:rPr>
          <w:rFonts w:hint="eastAsia" w:hAnsi="宋体"/>
        </w:rPr>
        <w:t>本标准起草单位：</w:t>
      </w:r>
      <w:r>
        <w:rPr>
          <w:rFonts w:hint="eastAsia" w:hAnsi="宋体"/>
          <w:sz w:val="21"/>
          <w:szCs w:val="21"/>
          <w:lang w:eastAsia="zh-CN"/>
        </w:rPr>
        <w:t>焦作市馨之源科技</w:t>
      </w:r>
      <w:r>
        <w:rPr>
          <w:rFonts w:hint="eastAsia" w:hAnsi="宋体"/>
          <w:sz w:val="21"/>
          <w:szCs w:val="21"/>
        </w:rPr>
        <w:t>有限公司</w:t>
      </w:r>
      <w:r>
        <w:rPr>
          <w:rFonts w:hint="eastAsia" w:ascii="宋体" w:hAnsi="宋体"/>
          <w:kern w:val="0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北京芬凯科技有限公司</w:t>
      </w:r>
      <w:r>
        <w:rPr>
          <w:rFonts w:hint="eastAsia" w:hAnsi="宋体"/>
          <w:szCs w:val="21"/>
        </w:rPr>
        <w:t>。</w:t>
      </w:r>
    </w:p>
    <w:p w14:paraId="72A907F5">
      <w:pPr>
        <w:numPr>
          <w:ilvl w:val="0"/>
          <w:numId w:val="0"/>
        </w:numPr>
        <w:ind w:firstLine="420" w:firstLineChars="200"/>
        <w:rPr>
          <w:rFonts w:hAnsi="宋体"/>
          <w:szCs w:val="21"/>
        </w:rPr>
      </w:pPr>
      <w:r>
        <w:rPr>
          <w:rFonts w:hint="eastAsia" w:hAnsi="宋体"/>
        </w:rPr>
        <w:t>本标准主要起草人</w:t>
      </w:r>
      <w:r>
        <w:rPr>
          <w:rFonts w:hint="eastAsia" w:hAnsi="宋体"/>
          <w:szCs w:val="21"/>
        </w:rPr>
        <w:t>：</w:t>
      </w:r>
      <w:r>
        <w:rPr>
          <w:rFonts w:hint="eastAsia" w:ascii="宋体" w:hAnsi="宋体"/>
          <w:kern w:val="0"/>
          <w:szCs w:val="21"/>
          <w:lang w:eastAsia="zh-CN"/>
        </w:rPr>
        <w:t>赵新岩、赵俊岩、陈文龙、程辉、张佳琪、</w:t>
      </w:r>
      <w:r>
        <w:rPr>
          <w:rFonts w:hint="eastAsia" w:ascii="宋体" w:hAnsi="宋体"/>
          <w:szCs w:val="21"/>
          <w:lang w:val="en-US" w:eastAsia="zh-CN"/>
        </w:rPr>
        <w:t>李蕾</w:t>
      </w:r>
      <w:r>
        <w:rPr>
          <w:rFonts w:hint="eastAsia" w:hAnsi="宋体"/>
          <w:szCs w:val="21"/>
        </w:rPr>
        <w:t>。</w:t>
      </w:r>
    </w:p>
    <w:p w14:paraId="5045FBBD">
      <w:pPr>
        <w:pStyle w:val="25"/>
        <w:rPr>
          <w:rFonts w:hint="eastAsia" w:hAnsi="宋体"/>
        </w:rPr>
        <w:sectPr>
          <w:headerReference r:id="rId3" w:type="default"/>
          <w:footerReference r:id="rId4" w:type="default"/>
          <w:pgSz w:w="11907" w:h="16839"/>
          <w:pgMar w:top="1418" w:right="1134" w:bottom="1134" w:left="1418" w:header="1418" w:footer="851" w:gutter="0"/>
          <w:pgNumType w:fmt="upperRoman" w:start="1"/>
          <w:cols w:space="720" w:num="1"/>
          <w:docGrid w:type="lines" w:linePitch="312" w:charSpace="0"/>
        </w:sectPr>
      </w:pPr>
    </w:p>
    <w:p w14:paraId="3BBA5ABA">
      <w:pPr>
        <w:pStyle w:val="53"/>
        <w:rPr>
          <w:rFonts w:hint="eastAsia"/>
        </w:rPr>
      </w:pPr>
      <w:r>
        <w:rPr>
          <w:rFonts w:hint="eastAsia"/>
        </w:rPr>
        <w:t>香紫苏内酯</w:t>
      </w:r>
    </w:p>
    <w:p w14:paraId="0285FBD9">
      <w:pPr>
        <w:pStyle w:val="48"/>
        <w:spacing w:before="312" w:after="312"/>
      </w:pPr>
      <w:r>
        <w:rPr>
          <w:rFonts w:hint="eastAsia"/>
        </w:rPr>
        <w:t>范围</w:t>
      </w:r>
    </w:p>
    <w:p w14:paraId="4CD99105">
      <w:pPr>
        <w:pStyle w:val="25"/>
        <w:rPr>
          <w:rFonts w:hint="eastAsia" w:hAnsi="宋体"/>
        </w:rPr>
      </w:pPr>
      <w:r>
        <w:rPr>
          <w:rFonts w:hint="eastAsia" w:hAnsi="宋体"/>
        </w:rPr>
        <w:t>本标准规定了香紫苏内酯的基本信息、技术要求、试验方法、检验规则以及包装、标志、运输和贮存、保质期。</w:t>
      </w:r>
    </w:p>
    <w:p w14:paraId="3C79D659">
      <w:pPr>
        <w:pStyle w:val="25"/>
        <w:rPr>
          <w:rFonts w:hint="eastAsia" w:hAnsi="宋体"/>
        </w:rPr>
      </w:pPr>
      <w:r>
        <w:rPr>
          <w:rFonts w:hint="eastAsia" w:hAnsi="宋体"/>
        </w:rPr>
        <w:t>本标准适用于以香紫苏醇为</w:t>
      </w:r>
      <w:r>
        <w:rPr>
          <w:rFonts w:hint="eastAsia" w:hAnsi="宋体"/>
          <w:lang w:val="en-US" w:eastAsia="zh-CN"/>
        </w:rPr>
        <w:t>原料</w:t>
      </w:r>
      <w:r>
        <w:rPr>
          <w:rFonts w:hint="eastAsia" w:hAnsi="宋体"/>
        </w:rPr>
        <w:t>利用微生物发酵转化制备的香紫苏内酯，作为香料应用于日化、烟草和食品工业。</w:t>
      </w:r>
    </w:p>
    <w:p w14:paraId="4329DBA0">
      <w:pPr>
        <w:pStyle w:val="48"/>
        <w:spacing w:before="312" w:after="312"/>
      </w:pPr>
      <w:r>
        <w:rPr>
          <w:rFonts w:hint="eastAsia"/>
        </w:rPr>
        <w:t>规范性引用文件</w:t>
      </w:r>
    </w:p>
    <w:p w14:paraId="40BFF135">
      <w:pPr>
        <w:pStyle w:val="25"/>
      </w:pPr>
      <w:r>
        <w:rPr>
          <w:rFonts w:hint="eastAsia"/>
        </w:rPr>
        <w:t>下列文件对于本标准的应用是必不可少的。凡是注日期的引用文件，仅所注日期的版本适用于本标准；凡是不注日期的引用文件，其最新版本（包括所有的修改单）适用于本标准。</w:t>
      </w:r>
    </w:p>
    <w:p w14:paraId="488E516B">
      <w:pPr>
        <w:pStyle w:val="25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 xml:space="preserve">GB 5009.3     食品安全国家标准 食品中水分的测定 </w:t>
      </w:r>
    </w:p>
    <w:p w14:paraId="152347BF">
      <w:pPr>
        <w:pStyle w:val="25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GB/T 14454.2  香料香气评定法</w:t>
      </w:r>
    </w:p>
    <w:p w14:paraId="5B0873FC">
      <w:pPr>
        <w:pStyle w:val="25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GB/T 14454.5  香料旋光度的测定</w:t>
      </w:r>
    </w:p>
    <w:p w14:paraId="5D79E8EE">
      <w:pPr>
        <w:pStyle w:val="25"/>
        <w:rPr>
          <w:rFonts w:hAnsi="宋体"/>
          <w:szCs w:val="21"/>
        </w:rPr>
      </w:pPr>
      <w:r>
        <w:rPr>
          <w:rFonts w:hint="eastAsia" w:hAnsi="宋体"/>
          <w:szCs w:val="21"/>
        </w:rPr>
        <w:t>GB/T 14457.3  香料熔点测定法</w:t>
      </w:r>
    </w:p>
    <w:p w14:paraId="2F07FB0B">
      <w:pPr>
        <w:pStyle w:val="48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基本信息</w:t>
      </w:r>
    </w:p>
    <w:p w14:paraId="0932B904">
      <w:pPr>
        <w:pStyle w:val="25"/>
        <w:rPr>
          <w:rFonts w:hint="eastAsia" w:hAnsi="宋体" w:cs="宋体"/>
        </w:rPr>
      </w:pPr>
      <w:r>
        <w:rPr>
          <w:rFonts w:hint="eastAsia" w:hAnsi="宋体" w:cs="宋体"/>
        </w:rPr>
        <w:t xml:space="preserve">中文名： 香紫苏内酯 </w:t>
      </w:r>
    </w:p>
    <w:p w14:paraId="27F35804">
      <w:pPr>
        <w:pStyle w:val="25"/>
        <w:rPr>
          <w:rFonts w:hint="eastAsia" w:hAnsi="宋体" w:cs="宋体"/>
        </w:rPr>
      </w:pPr>
      <w:r>
        <w:rPr>
          <w:rFonts w:hint="eastAsia" w:hAnsi="宋体" w:cs="宋体"/>
        </w:rPr>
        <w:t>英文名： Sclareolide[Decahydro-3a,6,6,9a-tetramethylnaphtho(2,1b)furan-2(1H)-one]</w:t>
      </w:r>
    </w:p>
    <w:p w14:paraId="39C7EAF6">
      <w:pPr>
        <w:pStyle w:val="25"/>
        <w:ind w:firstLine="630" w:firstLineChars="300"/>
        <w:rPr>
          <w:rFonts w:hint="eastAsia" w:hAnsi="宋体" w:cs="宋体"/>
        </w:rPr>
      </w:pPr>
      <w:r>
        <w:rPr>
          <w:rFonts w:hint="eastAsia" w:hAnsi="宋体" w:cs="宋体"/>
        </w:rPr>
        <w:t xml:space="preserve">CAS ： 564-20-5 </w:t>
      </w:r>
      <w:bookmarkStart w:id="3" w:name="_GoBack"/>
      <w:bookmarkEnd w:id="3"/>
    </w:p>
    <w:p w14:paraId="1FAAD46B">
      <w:pPr>
        <w:pStyle w:val="141"/>
        <w:ind w:firstLine="420" w:firstLineChars="200"/>
        <w:rPr>
          <w:rFonts w:hint="eastAsia"/>
        </w:rPr>
      </w:pPr>
      <w:r>
        <w:rPr>
          <w:rFonts w:hint="eastAsia" w:hAnsi="宋体" w:cs="宋体"/>
        </w:rPr>
        <w:t xml:space="preserve">分子式： </w:t>
      </w:r>
      <w:r>
        <w:rPr>
          <w:rFonts w:hint="eastAsia" w:ascii="宋体" w:hAnsi="宋体"/>
        </w:rPr>
        <w:t>C</w:t>
      </w:r>
      <w:r>
        <w:rPr>
          <w:rFonts w:hint="eastAsia" w:ascii="宋体" w:hAnsi="宋体"/>
          <w:vertAlign w:val="subscript"/>
        </w:rPr>
        <w:t>16</w:t>
      </w:r>
      <w:r>
        <w:rPr>
          <w:rFonts w:hint="eastAsia" w:ascii="宋体" w:hAnsi="宋体"/>
        </w:rPr>
        <w:t>H</w:t>
      </w:r>
      <w:r>
        <w:rPr>
          <w:rFonts w:hint="eastAsia" w:ascii="宋体" w:hAnsi="宋体"/>
          <w:vertAlign w:val="subscript"/>
        </w:rPr>
        <w:t>26</w:t>
      </w:r>
      <w:r>
        <w:rPr>
          <w:rFonts w:hint="eastAsia" w:ascii="宋体" w:hAnsi="宋体"/>
        </w:rPr>
        <w:t>O</w:t>
      </w:r>
      <w:r>
        <w:rPr>
          <w:rFonts w:hint="eastAsia" w:ascii="宋体" w:hAnsi="宋体"/>
          <w:vertAlign w:val="subscript"/>
        </w:rPr>
        <w:t>2</w:t>
      </w:r>
    </w:p>
    <w:p w14:paraId="2FF0DF50">
      <w:pPr>
        <w:pStyle w:val="25"/>
        <w:rPr>
          <w:rFonts w:hint="eastAsia" w:hAnsi="宋体" w:cs="宋体"/>
        </w:rPr>
      </w:pPr>
      <w:r>
        <w:rPr>
          <w:rFonts w:hint="eastAsia" w:hAnsi="宋体" w:cs="宋体"/>
        </w:rPr>
        <w:t xml:space="preserve">分子量： 250.38 </w:t>
      </w:r>
    </w:p>
    <w:p w14:paraId="1556CBE6">
      <w:pPr>
        <w:pStyle w:val="25"/>
        <w:rPr>
          <w:rFonts w:hint="eastAsia" w:hAnsi="宋体" w:cs="宋体"/>
        </w:rPr>
      </w:pPr>
      <w:r>
        <w:rPr>
          <w:rFonts w:hint="eastAsia" w:hAnsi="宋体" w:cs="宋体"/>
        </w:rPr>
        <w:t>结构式：</w:t>
      </w:r>
    </w:p>
    <w:p w14:paraId="6AFF0B5F">
      <w:pPr>
        <w:pStyle w:val="25"/>
        <w:rPr>
          <w:rFonts w:hint="eastAsia" w:hAnsi="宋体" w:cs="宋体"/>
        </w:rPr>
      </w:pPr>
    </w:p>
    <w:p w14:paraId="67AA5855">
      <w:pPr>
        <w:pStyle w:val="25"/>
        <w:ind w:firstLine="0" w:firstLineChars="0"/>
        <w:jc w:val="center"/>
        <w:rPr>
          <w:rFonts w:hint="eastAsia" w:hAnsi="宋体" w:cs="宋体"/>
        </w:rPr>
      </w:pPr>
      <w:r>
        <w:rPr>
          <w:rFonts w:ascii="Times New Roman" w:hAnsi="宋体" w:cs="宋体"/>
        </w:rPr>
        <w:drawing>
          <wp:inline distT="0" distB="0" distL="114300" distR="114300">
            <wp:extent cx="2298065" cy="1104900"/>
            <wp:effectExtent l="0" t="0" r="6985" b="0"/>
            <wp:docPr id="8" name="图片 1" descr="ac6b8a21132926fbff22cc5fa7629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ac6b8a21132926fbff22cc5fa7629d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30BCD">
      <w:pPr>
        <w:pStyle w:val="48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技术要求</w:t>
      </w:r>
    </w:p>
    <w:p w14:paraId="28B49EBA">
      <w:pPr>
        <w:pStyle w:val="44"/>
        <w:numPr>
          <w:ilvl w:val="0"/>
          <w:numId w:val="0"/>
        </w:numPr>
        <w:spacing w:before="156" w:after="156"/>
        <w:ind w:firstLine="420" w:firstLineChars="200"/>
      </w:pPr>
      <w:r>
        <w:rPr>
          <w:rFonts w:hint="eastAsia"/>
        </w:rPr>
        <w:t>感官、理化指标</w:t>
      </w:r>
    </w:p>
    <w:p w14:paraId="4173BAE8">
      <w:pPr>
        <w:pStyle w:val="25"/>
        <w:rPr>
          <w:rFonts w:hAnsi="宋体"/>
        </w:rPr>
      </w:pPr>
      <w:r>
        <w:rPr>
          <w:rFonts w:hint="eastAsia" w:hAnsi="宋体"/>
        </w:rPr>
        <w:t>感官、理化指标详见表1。</w:t>
      </w:r>
    </w:p>
    <w:p w14:paraId="4A4F67B0">
      <w:pPr>
        <w:pStyle w:val="139"/>
        <w:spacing w:before="156" w:beforeLines="50" w:after="156" w:afterLines="50"/>
      </w:pPr>
      <w:r>
        <w:rPr>
          <w:rFonts w:hint="eastAsia" w:hAnsi="宋体"/>
        </w:rPr>
        <w:t>表1</w:t>
      </w:r>
      <w:r>
        <w:rPr>
          <w:rFonts w:hint="eastAsia"/>
        </w:rPr>
        <w:t>感官、理化指标</w:t>
      </w:r>
    </w:p>
    <w:tbl>
      <w:tblPr>
        <w:tblStyle w:val="33"/>
        <w:tblW w:w="892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3195"/>
        <w:gridCol w:w="4245"/>
      </w:tblGrid>
      <w:tr w14:paraId="4471EC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4677" w:type="dxa"/>
            <w:gridSpan w:val="2"/>
            <w:vAlign w:val="center"/>
          </w:tcPr>
          <w:p w14:paraId="1DA27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4245" w:type="dxa"/>
            <w:vAlign w:val="center"/>
          </w:tcPr>
          <w:p w14:paraId="43E2DE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要求</w:t>
            </w:r>
          </w:p>
        </w:tc>
      </w:tr>
      <w:tr w14:paraId="403D3A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82" w:type="dxa"/>
            <w:vMerge w:val="restart"/>
            <w:vAlign w:val="center"/>
          </w:tcPr>
          <w:p w14:paraId="104F95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3195" w:type="dxa"/>
            <w:vAlign w:val="center"/>
          </w:tcPr>
          <w:p w14:paraId="68987B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外观</w:t>
            </w:r>
          </w:p>
        </w:tc>
        <w:tc>
          <w:tcPr>
            <w:tcW w:w="4245" w:type="dxa"/>
            <w:vAlign w:val="center"/>
          </w:tcPr>
          <w:p w14:paraId="24A45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  <w:t>白色结晶状粉末</w:t>
            </w:r>
          </w:p>
        </w:tc>
      </w:tr>
      <w:tr w14:paraId="07C2CB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82" w:type="dxa"/>
            <w:vMerge w:val="continue"/>
            <w:vAlign w:val="center"/>
          </w:tcPr>
          <w:p w14:paraId="7CAC8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95" w:type="dxa"/>
            <w:vAlign w:val="center"/>
          </w:tcPr>
          <w:p w14:paraId="112D9B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香气</w:t>
            </w:r>
          </w:p>
        </w:tc>
        <w:tc>
          <w:tcPr>
            <w:tcW w:w="4245" w:type="dxa"/>
            <w:vAlign w:val="center"/>
          </w:tcPr>
          <w:p w14:paraId="73684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具有典型的琥珀香，木香</w:t>
            </w:r>
          </w:p>
        </w:tc>
      </w:tr>
      <w:tr w14:paraId="0DA198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82" w:type="dxa"/>
            <w:vMerge w:val="restart"/>
            <w:vAlign w:val="center"/>
          </w:tcPr>
          <w:p w14:paraId="53905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3195" w:type="dxa"/>
            <w:vAlign w:val="center"/>
          </w:tcPr>
          <w:p w14:paraId="44304D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香紫苏内酯含量（色谱法） %   ≥</w:t>
            </w:r>
          </w:p>
        </w:tc>
        <w:tc>
          <w:tcPr>
            <w:tcW w:w="4245" w:type="dxa"/>
            <w:vAlign w:val="center"/>
          </w:tcPr>
          <w:p w14:paraId="19E738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  <w:t>.0</w:t>
            </w:r>
          </w:p>
        </w:tc>
      </w:tr>
      <w:tr w14:paraId="6B9648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82" w:type="dxa"/>
            <w:vMerge w:val="continue"/>
            <w:vAlign w:val="center"/>
          </w:tcPr>
          <w:p w14:paraId="755661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95" w:type="dxa"/>
            <w:vAlign w:val="center"/>
          </w:tcPr>
          <w:p w14:paraId="2083EA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熔点 ℃                      ≥</w:t>
            </w:r>
          </w:p>
        </w:tc>
        <w:tc>
          <w:tcPr>
            <w:tcW w:w="4245" w:type="dxa"/>
            <w:vAlign w:val="center"/>
          </w:tcPr>
          <w:p w14:paraId="10CE93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  <w:t>122</w:t>
            </w:r>
          </w:p>
        </w:tc>
      </w:tr>
      <w:tr w14:paraId="360029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82" w:type="dxa"/>
            <w:vMerge w:val="continue"/>
            <w:vAlign w:val="center"/>
          </w:tcPr>
          <w:p w14:paraId="4E9282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95" w:type="dxa"/>
            <w:vAlign w:val="center"/>
          </w:tcPr>
          <w:p w14:paraId="5F5E31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比旋光度 （25℃）</w:t>
            </w:r>
          </w:p>
        </w:tc>
        <w:tc>
          <w:tcPr>
            <w:tcW w:w="4245" w:type="dxa"/>
            <w:vAlign w:val="center"/>
          </w:tcPr>
          <w:p w14:paraId="31CC88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  <w:t>+46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°</w:t>
            </w: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  <w:t>～+50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°</w:t>
            </w:r>
          </w:p>
        </w:tc>
      </w:tr>
      <w:tr w14:paraId="57FF6A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82" w:type="dxa"/>
            <w:vMerge w:val="continue"/>
            <w:vAlign w:val="center"/>
          </w:tcPr>
          <w:p w14:paraId="499167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95" w:type="dxa"/>
            <w:vAlign w:val="center"/>
          </w:tcPr>
          <w:p w14:paraId="2F6A6D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干燥失重 %                   ≤</w:t>
            </w:r>
          </w:p>
        </w:tc>
        <w:tc>
          <w:tcPr>
            <w:tcW w:w="4245" w:type="dxa"/>
            <w:vAlign w:val="center"/>
          </w:tcPr>
          <w:p w14:paraId="54C04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</w:rPr>
              <w:t>0.3</w:t>
            </w:r>
          </w:p>
        </w:tc>
      </w:tr>
    </w:tbl>
    <w:p w14:paraId="090DC90D">
      <w:pPr>
        <w:pStyle w:val="48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14:paraId="058031A6">
      <w:pPr>
        <w:pStyle w:val="25"/>
      </w:pPr>
      <w:r>
        <w:rPr>
          <w:rFonts w:hint="eastAsia" w:hAnsi="宋体"/>
          <w:szCs w:val="21"/>
          <w:lang w:val="zh-CN"/>
        </w:rPr>
        <w:t>本</w:t>
      </w:r>
      <w:r>
        <w:rPr>
          <w:rFonts w:hint="eastAsia" w:hAnsi="宋体"/>
          <w:szCs w:val="21"/>
        </w:rPr>
        <w:t>标准</w:t>
      </w:r>
      <w:r>
        <w:rPr>
          <w:rFonts w:hint="eastAsia" w:hAnsi="宋体"/>
          <w:szCs w:val="21"/>
          <w:lang w:val="zh-CN"/>
        </w:rPr>
        <w:t>中</w:t>
      </w:r>
      <w:r>
        <w:rPr>
          <w:rFonts w:hint="eastAsia" w:hAnsi="宋体"/>
          <w:szCs w:val="21"/>
        </w:rPr>
        <w:t>除另外说明外，所有试剂均为分析纯。</w:t>
      </w:r>
    </w:p>
    <w:p w14:paraId="23C24D46">
      <w:pPr>
        <w:pStyle w:val="44"/>
        <w:spacing w:before="156" w:after="156"/>
      </w:pPr>
      <w:r>
        <w:rPr>
          <w:rFonts w:hint="eastAsia"/>
        </w:rPr>
        <w:t>感官指标的测定</w:t>
      </w:r>
    </w:p>
    <w:p w14:paraId="769D14E1">
      <w:pPr>
        <w:pStyle w:val="25"/>
      </w:pPr>
      <w:r>
        <w:rPr>
          <w:rFonts w:hint="eastAsia"/>
        </w:rPr>
        <w:t>将试样置于比色管内，以白色为背景在室温和非阳光直射条件下目测。香气</w:t>
      </w:r>
      <w:r>
        <w:rPr>
          <w:rFonts w:hint="eastAsia" w:hAnsi="宋体"/>
          <w:szCs w:val="21"/>
        </w:rPr>
        <w:t>按GB/T 14454.2的规定测定。</w:t>
      </w:r>
    </w:p>
    <w:p w14:paraId="3FEEC56D">
      <w:pPr>
        <w:pStyle w:val="44"/>
        <w:spacing w:before="156" w:after="156"/>
      </w:pPr>
      <w:r>
        <w:rPr>
          <w:rFonts w:hint="eastAsia"/>
        </w:rPr>
        <w:t>理化指标的测定</w:t>
      </w:r>
    </w:p>
    <w:p w14:paraId="366CC2D9">
      <w:pPr>
        <w:pStyle w:val="25"/>
        <w:rPr>
          <w:rFonts w:hint="eastAsia"/>
        </w:rPr>
      </w:pPr>
      <w:r>
        <w:rPr>
          <w:rFonts w:hint="eastAsia"/>
        </w:rPr>
        <w:t>5.2.1 香紫苏内酯含量:按附录A中的方法检验。</w:t>
      </w:r>
    </w:p>
    <w:p w14:paraId="7B470B14">
      <w:pPr>
        <w:pStyle w:val="25"/>
        <w:rPr>
          <w:rFonts w:hint="eastAsia"/>
        </w:rPr>
      </w:pPr>
      <w:r>
        <w:rPr>
          <w:rFonts w:hint="eastAsia"/>
        </w:rPr>
        <w:t>5.2.2 熔点：按照 GB/T 14457.3中规定的方法进行检验。</w:t>
      </w:r>
    </w:p>
    <w:p w14:paraId="3255D11D">
      <w:pPr>
        <w:pStyle w:val="25"/>
        <w:rPr>
          <w:rFonts w:hint="eastAsia"/>
        </w:rPr>
      </w:pPr>
      <w:r>
        <w:rPr>
          <w:rFonts w:hint="eastAsia"/>
        </w:rPr>
        <w:t>5.2.3 旋光度：按照 GB/T 14454.5中规定的方法进行检验。</w:t>
      </w:r>
    </w:p>
    <w:p w14:paraId="4974834D">
      <w:pPr>
        <w:pStyle w:val="25"/>
        <w:rPr>
          <w:rFonts w:hint="eastAsia"/>
        </w:rPr>
      </w:pPr>
      <w:r>
        <w:rPr>
          <w:rFonts w:hint="eastAsia"/>
        </w:rPr>
        <w:t>5.2.4 干燥失重：按照GB 5009.3中规定的方法进行检验。</w:t>
      </w:r>
    </w:p>
    <w:p w14:paraId="604C8FC9">
      <w:pPr>
        <w:pStyle w:val="48"/>
        <w:spacing w:before="312" w:after="312"/>
      </w:pPr>
      <w:r>
        <w:rPr>
          <w:rFonts w:hint="eastAsia"/>
        </w:rPr>
        <w:t>检验规则</w:t>
      </w:r>
    </w:p>
    <w:p w14:paraId="701FEB87">
      <w:pPr>
        <w:pStyle w:val="44"/>
        <w:numPr>
          <w:ilvl w:val="1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本标准采用型式检验和出厂检验。型式检验和出厂检验应符合下列规定：</w:t>
      </w:r>
    </w:p>
    <w:p w14:paraId="2033F00D">
      <w:pPr>
        <w:pStyle w:val="49"/>
        <w:spacing w:before="156" w:after="156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本标准技术要求中规定的所有指标项目为型式检验项目，在正常生产情况下，每年至少进行一次型式检验。在下列情况之一时，必须进行型式检验：</w:t>
      </w:r>
    </w:p>
    <w:p w14:paraId="10A6B6A1">
      <w:pPr>
        <w:pStyle w:val="49"/>
        <w:numPr>
          <w:ilvl w:val="0"/>
          <w:numId w:val="10"/>
        </w:numPr>
        <w:spacing w:before="156" w:after="156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重要原料发生变化时；</w:t>
      </w:r>
    </w:p>
    <w:p w14:paraId="7E2DF4B1">
      <w:pPr>
        <w:pStyle w:val="49"/>
        <w:numPr>
          <w:ilvl w:val="0"/>
          <w:numId w:val="10"/>
        </w:numPr>
        <w:spacing w:before="156" w:after="156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生产工艺发生变化时；</w:t>
      </w:r>
    </w:p>
    <w:p w14:paraId="78C07C67">
      <w:pPr>
        <w:pStyle w:val="49"/>
        <w:numPr>
          <w:ilvl w:val="0"/>
          <w:numId w:val="10"/>
        </w:numPr>
        <w:spacing w:before="156" w:after="156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长期停产恢复生产时；</w:t>
      </w:r>
    </w:p>
    <w:p w14:paraId="0A6AD299">
      <w:pPr>
        <w:pStyle w:val="49"/>
        <w:numPr>
          <w:ilvl w:val="0"/>
          <w:numId w:val="10"/>
        </w:numPr>
        <w:spacing w:before="156" w:after="156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和用户发生质量争议需要仲裁时；</w:t>
      </w:r>
    </w:p>
    <w:p w14:paraId="492C3252">
      <w:pPr>
        <w:pStyle w:val="49"/>
        <w:numPr>
          <w:ilvl w:val="0"/>
          <w:numId w:val="10"/>
        </w:numPr>
        <w:spacing w:before="156" w:after="156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国家</w:t>
      </w:r>
      <w:r>
        <w:rPr>
          <w:rFonts w:hint="eastAsia" w:ascii="宋体" w:hAnsi="宋体"/>
          <w:lang w:val="en-US" w:eastAsia="zh-CN"/>
        </w:rPr>
        <w:t>相关</w:t>
      </w:r>
      <w:r>
        <w:rPr>
          <w:rFonts w:hint="eastAsia" w:ascii="宋体" w:hAnsi="宋体"/>
        </w:rPr>
        <w:t>部门提出要求时。</w:t>
      </w:r>
    </w:p>
    <w:p w14:paraId="174E0954">
      <w:pPr>
        <w:pStyle w:val="44"/>
        <w:numPr>
          <w:ilvl w:val="1"/>
          <w:numId w:val="0"/>
        </w:numPr>
        <w:spacing w:before="156" w:after="156"/>
        <w:ind w:firstLine="420" w:firstLineChars="200"/>
        <w:rPr>
          <w:rFonts w:hAnsi="黑体" w:cs="黑体"/>
        </w:rPr>
      </w:pPr>
      <w:r>
        <w:rPr>
          <w:rFonts w:hint="eastAsia" w:ascii="宋体" w:hAnsi="宋体" w:eastAsia="宋体"/>
        </w:rPr>
        <w:t>本标准技术要求中规定的外观</w:t>
      </w:r>
      <w:r>
        <w:rPr>
          <w:rFonts w:hint="eastAsia" w:ascii="宋体" w:hAnsi="宋体" w:eastAsia="宋体"/>
          <w:lang w:eastAsia="zh-CN"/>
        </w:rPr>
        <w:t>、</w:t>
      </w:r>
      <w:r>
        <w:rPr>
          <w:rFonts w:hint="eastAsia" w:ascii="宋体" w:hAnsi="宋体" w:eastAsia="宋体"/>
          <w:lang w:val="en-US" w:eastAsia="zh-CN"/>
        </w:rPr>
        <w:t>香气、</w:t>
      </w:r>
      <w:r>
        <w:rPr>
          <w:rFonts w:hint="eastAsia" w:ascii="宋体" w:hAnsi="宋体" w:eastAsia="宋体"/>
        </w:rPr>
        <w:t>含量、干燥失重、比旋光度、熔点指标项目为出厂检验项目，必须逐批检验。</w:t>
      </w:r>
    </w:p>
    <w:p w14:paraId="1347C946">
      <w:pPr>
        <w:pStyle w:val="44"/>
        <w:spacing w:before="156" w:after="156"/>
      </w:pPr>
      <w:r>
        <w:rPr>
          <w:rFonts w:hint="eastAsia"/>
        </w:rPr>
        <w:t>批次</w:t>
      </w:r>
    </w:p>
    <w:p w14:paraId="27D8CAF5">
      <w:pPr>
        <w:pStyle w:val="25"/>
      </w:pPr>
      <w:r>
        <w:rPr>
          <w:rFonts w:hint="eastAsia"/>
        </w:rPr>
        <w:t>以相同原料、相同的生产工艺，经连续生产或同一班次生产的均匀一致的产品为一批。</w:t>
      </w:r>
    </w:p>
    <w:p w14:paraId="13253F75">
      <w:pPr>
        <w:pStyle w:val="44"/>
        <w:spacing w:before="156" w:after="156"/>
      </w:pPr>
      <w:r>
        <w:rPr>
          <w:rFonts w:hint="eastAsia"/>
        </w:rPr>
        <w:t>抽样</w:t>
      </w:r>
    </w:p>
    <w:p w14:paraId="7BF60325">
      <w:pPr>
        <w:pStyle w:val="25"/>
        <w:rPr>
          <w:rFonts w:hint="eastAsia" w:hAnsi="宋体"/>
        </w:rPr>
      </w:pPr>
      <w:r>
        <w:rPr>
          <w:rFonts w:hint="eastAsia"/>
          <w:lang w:val="en-US" w:eastAsia="zh-CN"/>
        </w:rPr>
        <w:t>每批的包装单位：1个～2个，全抽；3个～100个，抽取2个；100个以上增加部分再抽取3%。用取样器从每个包装单位中抽取试样50g～100g，将所抽取的试样全部置于混样器内充分混匀，分别装入两个清洁干燥密闭的食品袋中，避光保存。贴标签，注明：产品名称、批号、生产日期、数量、取样日期及取样人。一份作检验用，另一份留存备查</w:t>
      </w:r>
      <w:r>
        <w:rPr>
          <w:rFonts w:hint="eastAsia"/>
        </w:rPr>
        <w:t>。</w:t>
      </w:r>
    </w:p>
    <w:p w14:paraId="0E42C0C5">
      <w:pPr>
        <w:pStyle w:val="25"/>
        <w:rPr>
          <w:rFonts w:hint="eastAsia" w:hAnsi="宋体"/>
        </w:rPr>
      </w:pPr>
      <w:r>
        <w:rPr>
          <w:rFonts w:hint="eastAsia"/>
        </w:rPr>
        <w:t>型式检验的样品抽样方法同上。</w:t>
      </w:r>
    </w:p>
    <w:p w14:paraId="1F3E4E80">
      <w:pPr>
        <w:pStyle w:val="44"/>
        <w:numPr>
          <w:ilvl w:val="1"/>
          <w:numId w:val="0"/>
        </w:numPr>
        <w:spacing w:before="156" w:after="156"/>
        <w:rPr>
          <w:rFonts w:hint="eastAsia" w:hAnsi="宋体"/>
        </w:rPr>
      </w:pPr>
      <w:r>
        <w:rPr>
          <w:rFonts w:hint="eastAsia"/>
        </w:rPr>
        <w:t>6.3判断</w:t>
      </w:r>
    </w:p>
    <w:p w14:paraId="1C71E82C">
      <w:pPr>
        <w:pStyle w:val="25"/>
        <w:rPr>
          <w:rFonts w:hint="eastAsia"/>
        </w:rPr>
      </w:pPr>
      <w:r>
        <w:rPr>
          <w:rFonts w:hint="eastAsia"/>
        </w:rPr>
        <w:t>外观、</w:t>
      </w:r>
      <w:r>
        <w:rPr>
          <w:rFonts w:hint="eastAsia"/>
          <w:lang w:val="en-US" w:eastAsia="zh-CN"/>
        </w:rPr>
        <w:t>香气、</w:t>
      </w:r>
      <w:r>
        <w:rPr>
          <w:rFonts w:hint="eastAsia"/>
        </w:rPr>
        <w:t>含量、干燥失重、</w:t>
      </w:r>
      <w:r>
        <w:rPr>
          <w:rFonts w:hint="eastAsia" w:hAnsi="宋体"/>
        </w:rPr>
        <w:t>比旋光度、熔点</w:t>
      </w:r>
      <w:r>
        <w:rPr>
          <w:rFonts w:hint="eastAsia" w:hAnsi="宋体"/>
          <w:lang w:val="en-US" w:eastAsia="zh-CN"/>
        </w:rPr>
        <w:t>六</w:t>
      </w:r>
      <w:r>
        <w:rPr>
          <w:rFonts w:hint="eastAsia"/>
        </w:rPr>
        <w:t>项指标全部合格，判该批产品为合格产品。</w:t>
      </w:r>
    </w:p>
    <w:p w14:paraId="1324C8B1">
      <w:pPr>
        <w:pStyle w:val="25"/>
        <w:rPr>
          <w:rFonts w:hint="eastAsia"/>
        </w:rPr>
      </w:pPr>
      <w:r>
        <w:rPr>
          <w:rFonts w:hint="eastAsia"/>
        </w:rPr>
        <w:t>出厂检验产品应由本厂质检部门按批抽样进行检验合格方可出厂，出厂的产品须附合格标记。</w:t>
      </w:r>
    </w:p>
    <w:p w14:paraId="05C5C0FC">
      <w:pPr>
        <w:pStyle w:val="44"/>
        <w:numPr>
          <w:ilvl w:val="1"/>
          <w:numId w:val="0"/>
        </w:numPr>
        <w:spacing w:before="156" w:after="156"/>
        <w:rPr>
          <w:rFonts w:hint="eastAsia"/>
        </w:rPr>
      </w:pPr>
      <w:r>
        <w:rPr>
          <w:rFonts w:hint="eastAsia"/>
        </w:rPr>
        <w:t>6.4 复验规则</w:t>
      </w:r>
    </w:p>
    <w:p w14:paraId="024B35B0">
      <w:pPr>
        <w:pStyle w:val="44"/>
        <w:numPr>
          <w:ilvl w:val="1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检验结果有一项不符合标准要求时，可会同生产厂加倍抽取试样复验。最终检验结果以复检结果为准。重新检验结果如仍有指标不合格时，则该批产品不能验收</w:t>
      </w:r>
      <w:r>
        <w:rPr>
          <w:rFonts w:hint="eastAsia" w:ascii="宋体" w:hAnsi="宋体" w:eastAsia="宋体"/>
          <w:lang w:eastAsia="zh-CN"/>
        </w:rPr>
        <w:t>。</w:t>
      </w:r>
    </w:p>
    <w:p w14:paraId="072270B9">
      <w:pPr>
        <w:pStyle w:val="44"/>
        <w:numPr>
          <w:ilvl w:val="1"/>
          <w:numId w:val="0"/>
        </w:numPr>
        <w:spacing w:before="156" w:after="156"/>
      </w:pPr>
      <w:r>
        <w:rPr>
          <w:rFonts w:hint="eastAsia"/>
        </w:rPr>
        <w:t>6.5争议处理</w:t>
      </w:r>
    </w:p>
    <w:p w14:paraId="47A69098">
      <w:pPr>
        <w:pStyle w:val="44"/>
        <w:numPr>
          <w:ilvl w:val="1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当供需双方对产品质量发生异议时，可由双方协议解决或由法定检验机构进行仲裁。</w:t>
      </w:r>
    </w:p>
    <w:p w14:paraId="1B8D788B">
      <w:pPr>
        <w:pStyle w:val="48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14:paraId="27EDB2DF">
      <w:pPr>
        <w:pStyle w:val="44"/>
        <w:numPr>
          <w:ilvl w:val="1"/>
          <w:numId w:val="0"/>
        </w:numPr>
        <w:spacing w:before="156" w:after="156"/>
      </w:pPr>
      <w:r>
        <w:rPr>
          <w:rFonts w:hint="eastAsia"/>
        </w:rPr>
        <w:t>7.1 标志</w:t>
      </w:r>
    </w:p>
    <w:p w14:paraId="34C58720">
      <w:pPr>
        <w:pStyle w:val="44"/>
        <w:numPr>
          <w:ilvl w:val="1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产品外包装上印有以下标识：产品名称、批号、净含量、生产日期、保质期、执行标准、厂名厂址。订货单位如有特殊要求，可另行协商。</w:t>
      </w:r>
    </w:p>
    <w:p w14:paraId="65210875">
      <w:pPr>
        <w:pStyle w:val="44"/>
        <w:numPr>
          <w:ilvl w:val="1"/>
          <w:numId w:val="0"/>
        </w:numPr>
        <w:spacing w:before="156" w:after="156"/>
      </w:pPr>
      <w:r>
        <w:rPr>
          <w:rFonts w:hint="eastAsia"/>
        </w:rPr>
        <w:t>7.2 包装</w:t>
      </w:r>
    </w:p>
    <w:p w14:paraId="4B25C050">
      <w:pPr>
        <w:pStyle w:val="44"/>
        <w:numPr>
          <w:ilvl w:val="1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应装于清洁、干燥、无杂味的包装桶内，或按客户要求进行其它规格包装。</w:t>
      </w:r>
    </w:p>
    <w:p w14:paraId="574BE063">
      <w:pPr>
        <w:pStyle w:val="44"/>
        <w:numPr>
          <w:ilvl w:val="1"/>
          <w:numId w:val="0"/>
        </w:numPr>
        <w:spacing w:before="156" w:after="156"/>
        <w:rPr>
          <w:rFonts w:hAnsi="宋体"/>
          <w:highlight w:val="none"/>
        </w:rPr>
      </w:pPr>
      <w:r>
        <w:rPr>
          <w:rFonts w:hint="eastAsia" w:hAnsi="宋体"/>
        </w:rPr>
        <w:t>7.3 运输</w:t>
      </w:r>
    </w:p>
    <w:p w14:paraId="4CD71496">
      <w:pPr>
        <w:pStyle w:val="25"/>
        <w:rPr>
          <w:rFonts w:hint="eastAsia"/>
          <w:highlight w:val="none"/>
        </w:rPr>
      </w:pPr>
      <w:r>
        <w:rPr>
          <w:rFonts w:hint="eastAsia"/>
          <w:highlight w:val="none"/>
        </w:rPr>
        <w:t>产品运输时应防火、防潮、防雨淋、防挤压，不得和具有腐蚀性和有强烈气味的物品混合装运。</w:t>
      </w:r>
    </w:p>
    <w:p w14:paraId="2FF66D0B">
      <w:pPr>
        <w:pStyle w:val="44"/>
        <w:numPr>
          <w:ilvl w:val="1"/>
          <w:numId w:val="0"/>
        </w:numPr>
        <w:spacing w:before="156" w:after="156"/>
        <w:rPr>
          <w:rFonts w:hint="eastAsia"/>
          <w:highlight w:val="none"/>
        </w:rPr>
      </w:pPr>
      <w:r>
        <w:rPr>
          <w:rFonts w:hint="eastAsia"/>
          <w:highlight w:val="none"/>
        </w:rPr>
        <w:t>7.4 贮存</w:t>
      </w:r>
    </w:p>
    <w:p w14:paraId="48451A4C">
      <w:pPr>
        <w:pStyle w:val="25"/>
        <w:rPr>
          <w:highlight w:val="none"/>
        </w:rPr>
      </w:pPr>
      <w:r>
        <w:rPr>
          <w:rFonts w:hint="eastAsia"/>
          <w:highlight w:val="none"/>
        </w:rPr>
        <w:t>产品应贮存于阴凉干燥处，避免在过高或过低温度下贮存。不得和具有腐蚀性和有强烈气味的物品混合贮存。</w:t>
      </w:r>
    </w:p>
    <w:p w14:paraId="26459891">
      <w:pPr>
        <w:pStyle w:val="48"/>
        <w:numPr>
          <w:ilvl w:val="0"/>
          <w:numId w:val="0"/>
        </w:numPr>
        <w:spacing w:before="312" w:after="312"/>
        <w:rPr>
          <w:highlight w:val="none"/>
        </w:rPr>
      </w:pPr>
      <w:r>
        <w:rPr>
          <w:rFonts w:hint="eastAsia"/>
          <w:highlight w:val="none"/>
        </w:rPr>
        <w:t>7.5 保质期</w:t>
      </w:r>
    </w:p>
    <w:p w14:paraId="30348605">
      <w:pPr>
        <w:pStyle w:val="48"/>
        <w:numPr>
          <w:ilvl w:val="0"/>
          <w:numId w:val="0"/>
        </w:numPr>
        <w:spacing w:before="312" w:after="312"/>
        <w:ind w:firstLine="420" w:firstLineChars="200"/>
        <w:rPr>
          <w:rFonts w:hAnsi="宋体"/>
        </w:rPr>
      </w:pPr>
      <w:r>
        <w:rPr>
          <w:rFonts w:hint="eastAsia" w:ascii="宋体" w:hAnsi="宋体" w:eastAsia="宋体"/>
        </w:rPr>
        <w:t>在符合规定的贮运条件、包装完整、未经启封的情况下，本产品保质期不少于36个月。</w:t>
      </w:r>
    </w:p>
    <w:p w14:paraId="3311E479">
      <w:pPr>
        <w:pStyle w:val="25"/>
        <w:ind w:firstLine="0" w:firstLineChars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 录 A</w:t>
      </w:r>
      <w:r>
        <w:rPr>
          <w:rFonts w:hint="eastAsia" w:ascii="黑体" w:hAnsi="黑体" w:eastAsia="黑体" w:cs="黑体"/>
        </w:rPr>
        <w:br w:type="textWrapping"/>
      </w:r>
      <w:r>
        <w:rPr>
          <w:rFonts w:hint="eastAsia" w:ascii="黑体" w:hAnsi="黑体" w:eastAsia="黑体" w:cs="黑体"/>
        </w:rPr>
        <w:t>（规范性附录）</w:t>
      </w:r>
    </w:p>
    <w:p w14:paraId="61F347DA">
      <w:pPr>
        <w:pStyle w:val="25"/>
        <w:ind w:firstLine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A.1香紫苏内酯含量的测定</w:t>
      </w:r>
    </w:p>
    <w:p w14:paraId="7AC7D04D">
      <w:pPr>
        <w:pStyle w:val="25"/>
        <w:ind w:firstLine="0" w:firstLineChars="0"/>
        <w:rPr>
          <w:rFonts w:hint="eastAsia" w:ascii="黑体" w:hAnsi="黑体" w:eastAsia="黑体" w:cs="黑体"/>
          <w:szCs w:val="22"/>
        </w:rPr>
      </w:pPr>
      <w:r>
        <w:rPr>
          <w:rFonts w:hint="eastAsia" w:ascii="黑体" w:hAnsi="黑体" w:eastAsia="黑体" w:cs="黑体"/>
          <w:szCs w:val="22"/>
        </w:rPr>
        <w:t>A.1.1 方法提要</w:t>
      </w:r>
    </w:p>
    <w:p w14:paraId="02618E00">
      <w:pPr>
        <w:pStyle w:val="25"/>
        <w:rPr>
          <w:rFonts w:hint="eastAsia" w:hAnsi="宋体"/>
        </w:rPr>
      </w:pPr>
      <w:r>
        <w:rPr>
          <w:rFonts w:hint="eastAsia" w:hAnsi="宋体"/>
        </w:rPr>
        <w:t>以无水乙醇做溶剂，邻苯二甲酸二丁酯为内标物，使用气相色谱仪，对试样中香紫苏内酯进行毛细管气相色谱分离和测定。</w:t>
      </w:r>
    </w:p>
    <w:p w14:paraId="6A1C289B">
      <w:pPr>
        <w:pStyle w:val="25"/>
        <w:ind w:firstLine="0" w:firstLineChars="0"/>
        <w:rPr>
          <w:rFonts w:hint="eastAsia" w:ascii="黑体" w:hAnsi="黑体" w:eastAsia="黑体" w:cs="黑体"/>
          <w:szCs w:val="22"/>
        </w:rPr>
      </w:pPr>
      <w:r>
        <w:rPr>
          <w:rFonts w:hint="eastAsia" w:ascii="黑体" w:hAnsi="黑体" w:eastAsia="黑体" w:cs="黑体"/>
          <w:szCs w:val="22"/>
        </w:rPr>
        <w:t>A.1.2 气相色谱操作条件</w:t>
      </w:r>
    </w:p>
    <w:p w14:paraId="378494B3">
      <w:pPr>
        <w:pStyle w:val="25"/>
        <w:rPr>
          <w:rFonts w:hint="eastAsia" w:hAnsi="宋体"/>
        </w:rPr>
      </w:pPr>
      <w:r>
        <w:rPr>
          <w:rFonts w:hint="eastAsia" w:hAnsi="宋体"/>
        </w:rPr>
        <w:t>1）柱：毛细管柱 长30m，内径0.32mm</w:t>
      </w:r>
    </w:p>
    <w:p w14:paraId="6184B366">
      <w:pPr>
        <w:pStyle w:val="25"/>
        <w:rPr>
          <w:rFonts w:hint="eastAsia" w:hAnsi="宋体"/>
        </w:rPr>
      </w:pPr>
      <w:r>
        <w:rPr>
          <w:rFonts w:hint="eastAsia" w:hAnsi="宋体"/>
        </w:rPr>
        <w:t>2）固定相：</w:t>
      </w:r>
      <w:r>
        <w:rPr>
          <w:rFonts w:hint="eastAsia" w:hAnsi="宋体"/>
          <w:szCs w:val="21"/>
        </w:rPr>
        <w:t>二甲基聚硅氧烷</w:t>
      </w:r>
    </w:p>
    <w:p w14:paraId="35E8FF70">
      <w:pPr>
        <w:pStyle w:val="25"/>
        <w:rPr>
          <w:rFonts w:hint="eastAsia" w:hAnsi="宋体"/>
        </w:rPr>
      </w:pPr>
      <w:r>
        <w:rPr>
          <w:rFonts w:hint="eastAsia" w:hAnsi="宋体"/>
        </w:rPr>
        <w:t>3）膜厚：0.25μm</w:t>
      </w:r>
    </w:p>
    <w:p w14:paraId="5B5EB7A3">
      <w:pPr>
        <w:pStyle w:val="25"/>
        <w:rPr>
          <w:rFonts w:hint="eastAsia" w:hAnsi="宋体"/>
        </w:rPr>
      </w:pPr>
      <w:r>
        <w:rPr>
          <w:rFonts w:hint="eastAsia" w:hAnsi="宋体"/>
        </w:rPr>
        <w:t>4）色谱炉温度：恒温，220℃</w:t>
      </w:r>
    </w:p>
    <w:p w14:paraId="35C12CBF">
      <w:pPr>
        <w:pStyle w:val="25"/>
        <w:rPr>
          <w:rFonts w:hint="eastAsia" w:hAnsi="宋体"/>
        </w:rPr>
      </w:pPr>
      <w:r>
        <w:rPr>
          <w:rFonts w:hint="eastAsia" w:hAnsi="宋体"/>
        </w:rPr>
        <w:t>5）进样口温度：300℃</w:t>
      </w:r>
    </w:p>
    <w:p w14:paraId="73AE134D">
      <w:pPr>
        <w:pStyle w:val="25"/>
        <w:rPr>
          <w:rFonts w:hint="eastAsia" w:hAnsi="宋体"/>
        </w:rPr>
      </w:pPr>
      <w:r>
        <w:rPr>
          <w:rFonts w:hint="eastAsia" w:hAnsi="宋体"/>
        </w:rPr>
        <w:t>6）检测器温度：270℃</w:t>
      </w:r>
    </w:p>
    <w:p w14:paraId="1A4338AC">
      <w:pPr>
        <w:pStyle w:val="25"/>
        <w:rPr>
          <w:rFonts w:hint="eastAsia" w:hAnsi="宋体"/>
        </w:rPr>
      </w:pPr>
      <w:r>
        <w:rPr>
          <w:rFonts w:hint="eastAsia" w:hAnsi="宋体"/>
        </w:rPr>
        <w:t>7）检测器：氢火焰离子化检测器</w:t>
      </w:r>
    </w:p>
    <w:p w14:paraId="3D58B5CD">
      <w:pPr>
        <w:pStyle w:val="25"/>
        <w:rPr>
          <w:rFonts w:hint="eastAsia" w:hAnsi="宋体"/>
        </w:rPr>
      </w:pPr>
      <w:r>
        <w:rPr>
          <w:rFonts w:hint="eastAsia" w:hAnsi="宋体"/>
        </w:rPr>
        <w:t>8）载气：氮气</w:t>
      </w:r>
    </w:p>
    <w:p w14:paraId="15294DFA">
      <w:pPr>
        <w:pStyle w:val="25"/>
        <w:rPr>
          <w:rFonts w:hint="eastAsia" w:hAnsi="宋体"/>
        </w:rPr>
      </w:pPr>
      <w:r>
        <w:rPr>
          <w:rFonts w:hint="eastAsia" w:hAnsi="宋体"/>
        </w:rPr>
        <w:t xml:space="preserve">9）载气流量： 1 mL/min </w:t>
      </w:r>
    </w:p>
    <w:p w14:paraId="0480FD82">
      <w:pPr>
        <w:pStyle w:val="25"/>
        <w:rPr>
          <w:rFonts w:hint="eastAsia" w:hAnsi="宋体"/>
        </w:rPr>
      </w:pPr>
      <w:r>
        <w:rPr>
          <w:rFonts w:hint="eastAsia" w:hAnsi="宋体"/>
        </w:rPr>
        <w:t>10）进样量：1μL</w:t>
      </w:r>
    </w:p>
    <w:p w14:paraId="29559DE1">
      <w:pPr>
        <w:pStyle w:val="25"/>
        <w:rPr>
          <w:rFonts w:hint="default" w:hAnsi="宋体" w:eastAsia="宋体"/>
          <w:lang w:val="en-US" w:eastAsia="zh-CN"/>
        </w:rPr>
      </w:pPr>
      <w:r>
        <w:rPr>
          <w:rFonts w:hint="eastAsia" w:hAnsi="宋体"/>
        </w:rPr>
        <w:t>11）分流比：</w:t>
      </w:r>
      <w:r>
        <w:rPr>
          <w:rFonts w:hint="eastAsia" w:hAnsi="宋体"/>
          <w:lang w:val="en-US" w:eastAsia="zh-CN"/>
        </w:rPr>
        <w:t>40:1</w:t>
      </w:r>
    </w:p>
    <w:p w14:paraId="30F7E3C0">
      <w:pPr>
        <w:pStyle w:val="25"/>
        <w:ind w:firstLine="0" w:firstLineChars="0"/>
        <w:rPr>
          <w:rFonts w:hint="eastAsia" w:ascii="黑体" w:hAnsi="黑体" w:eastAsia="黑体" w:cs="黑体"/>
          <w:szCs w:val="22"/>
        </w:rPr>
      </w:pPr>
      <w:r>
        <w:rPr>
          <w:rFonts w:hint="eastAsia" w:ascii="黑体" w:hAnsi="黑体" w:eastAsia="黑体" w:cs="黑体"/>
          <w:szCs w:val="22"/>
        </w:rPr>
        <w:t>A.1.3 测定步骤</w:t>
      </w:r>
    </w:p>
    <w:p w14:paraId="2FDA1035">
      <w:pPr>
        <w:pStyle w:val="25"/>
        <w:ind w:firstLine="0" w:firstLineChars="0"/>
        <w:rPr>
          <w:rFonts w:hint="eastAsia" w:hAnsi="宋体"/>
        </w:rPr>
      </w:pPr>
      <w:r>
        <w:rPr>
          <w:rFonts w:hint="eastAsia" w:hAnsi="宋体"/>
        </w:rPr>
        <w:t>A.1.3.1 内标溶液的制备</w:t>
      </w:r>
    </w:p>
    <w:p w14:paraId="0E0002D6">
      <w:pPr>
        <w:pStyle w:val="25"/>
        <w:ind w:firstLine="0" w:firstLineChars="0"/>
        <w:rPr>
          <w:rFonts w:hint="eastAsia" w:hAnsi="宋体"/>
        </w:rPr>
      </w:pPr>
      <w:r>
        <w:rPr>
          <w:rFonts w:hint="eastAsia" w:hAnsi="宋体"/>
        </w:rPr>
        <w:t xml:space="preserve">   准确量取邻苯二甲酸二丁酯 5.0 mL ，于 500mL 的容量瓶中，用无水乙醇溶解﹑定容，摇匀，备用。</w:t>
      </w:r>
    </w:p>
    <w:p w14:paraId="2FDDD1C8">
      <w:pPr>
        <w:pStyle w:val="25"/>
        <w:ind w:firstLine="0" w:firstLineChars="0"/>
        <w:rPr>
          <w:rFonts w:hint="eastAsia" w:hAnsi="宋体"/>
        </w:rPr>
      </w:pPr>
      <w:r>
        <w:rPr>
          <w:rFonts w:hint="eastAsia" w:hAnsi="宋体"/>
        </w:rPr>
        <w:t>A.1.3.2 标样溶液的制备</w:t>
      </w:r>
    </w:p>
    <w:p w14:paraId="7E07E2F2">
      <w:pPr>
        <w:pStyle w:val="25"/>
        <w:rPr>
          <w:rFonts w:hint="eastAsia" w:hAnsi="宋体"/>
        </w:rPr>
      </w:pPr>
      <w:r>
        <w:rPr>
          <w:rFonts w:hint="eastAsia" w:hAnsi="宋体"/>
        </w:rPr>
        <w:t>称取0.1g香紫苏内酯标样于10.0 mL 容量瓶中,用内标液溶解并定容,充分摇匀后作为标样。</w:t>
      </w:r>
    </w:p>
    <w:p w14:paraId="01C6F879">
      <w:pPr>
        <w:pStyle w:val="25"/>
        <w:ind w:firstLine="0" w:firstLineChars="0"/>
        <w:rPr>
          <w:rFonts w:hint="eastAsia" w:hAnsi="宋体"/>
        </w:rPr>
      </w:pPr>
      <w:r>
        <w:rPr>
          <w:rFonts w:hint="eastAsia" w:hAnsi="宋体"/>
        </w:rPr>
        <w:t>A.1.3.3 试样溶液的制备</w:t>
      </w:r>
    </w:p>
    <w:p w14:paraId="73BBE716">
      <w:pPr>
        <w:pStyle w:val="25"/>
        <w:rPr>
          <w:rFonts w:hint="eastAsia" w:hAnsi="宋体"/>
        </w:rPr>
      </w:pPr>
      <w:r>
        <w:rPr>
          <w:rFonts w:hint="eastAsia" w:hAnsi="宋体"/>
        </w:rPr>
        <w:t>称取样品0.1g于10.0 mL 容量瓶中, 用内标液溶解并定容,充分摇匀后备用。</w:t>
      </w:r>
    </w:p>
    <w:p w14:paraId="590FC198">
      <w:pPr>
        <w:pStyle w:val="25"/>
        <w:ind w:firstLine="0" w:firstLineChars="0"/>
        <w:rPr>
          <w:rFonts w:hint="eastAsia" w:hAnsi="宋体"/>
        </w:rPr>
      </w:pPr>
      <w:r>
        <w:rPr>
          <w:rFonts w:hint="eastAsia" w:hAnsi="宋体"/>
        </w:rPr>
        <w:t>A.1.3.4 测定</w:t>
      </w:r>
    </w:p>
    <w:p w14:paraId="3891EC5F">
      <w:pPr>
        <w:pStyle w:val="25"/>
        <w:rPr>
          <w:rFonts w:hint="eastAsia" w:hAnsi="宋体"/>
        </w:rPr>
      </w:pPr>
      <w:r>
        <w:rPr>
          <w:rFonts w:hint="eastAsia" w:hAnsi="宋体"/>
        </w:rPr>
        <w:t>在上述操作条件下,待仪器基线稳定后,连续</w:t>
      </w:r>
      <w:r>
        <w:rPr>
          <w:rFonts w:hint="eastAsia" w:hAnsi="宋体"/>
          <w:lang w:val="en-US" w:eastAsia="zh-CN"/>
        </w:rPr>
        <w:t>多次进样</w:t>
      </w:r>
      <w:r>
        <w:rPr>
          <w:rFonts w:hint="eastAsia" w:hAnsi="宋体"/>
        </w:rPr>
        <w:t>,计算</w:t>
      </w:r>
      <w:r>
        <w:rPr>
          <w:rFonts w:hint="eastAsia" w:hAnsi="宋体"/>
          <w:lang w:val="en-US" w:eastAsia="zh-CN"/>
        </w:rPr>
        <w:t>每次进样</w:t>
      </w:r>
      <w:r>
        <w:rPr>
          <w:rFonts w:hint="eastAsia" w:hAnsi="宋体"/>
        </w:rPr>
        <w:t>相对响应值的重复性,待相邻两</w:t>
      </w:r>
      <w:r>
        <w:rPr>
          <w:rFonts w:hint="eastAsia" w:hAnsi="宋体"/>
          <w:lang w:val="en-US" w:eastAsia="zh-CN"/>
        </w:rPr>
        <w:t>次进样</w:t>
      </w:r>
      <w:r>
        <w:rPr>
          <w:rFonts w:hint="eastAsia" w:hAnsi="宋体"/>
        </w:rPr>
        <w:t>的相对响应值变化小于</w:t>
      </w:r>
      <w:r>
        <w:rPr>
          <w:rFonts w:hint="eastAsia" w:hAnsi="宋体"/>
          <w:lang w:val="en-US" w:eastAsia="zh-CN"/>
        </w:rPr>
        <w:t>1.</w:t>
      </w:r>
      <w:r>
        <w:rPr>
          <w:rFonts w:hint="eastAsia" w:hAnsi="宋体"/>
        </w:rPr>
        <w:t>5 % ,按照标样溶液、试样溶液、试样溶液、标样溶液的顺序进行色谱分析。</w:t>
      </w:r>
    </w:p>
    <w:p w14:paraId="627069C7">
      <w:pPr>
        <w:pStyle w:val="25"/>
        <w:ind w:firstLine="0" w:firstLineChars="0"/>
        <w:rPr>
          <w:rFonts w:hint="eastAsia" w:ascii="黑体" w:hAnsi="黑体" w:eastAsia="黑体" w:cs="黑体"/>
          <w:szCs w:val="22"/>
        </w:rPr>
      </w:pPr>
      <w:r>
        <w:rPr>
          <w:rFonts w:hint="eastAsia" w:ascii="黑体" w:hAnsi="黑体" w:eastAsia="黑体" w:cs="黑体"/>
          <w:szCs w:val="22"/>
        </w:rPr>
        <w:t>A.1.4 计算</w:t>
      </w:r>
    </w:p>
    <w:p w14:paraId="2E315561">
      <w:pPr>
        <w:pStyle w:val="25"/>
        <w:rPr>
          <w:rFonts w:hint="eastAsia" w:hAnsi="宋体"/>
        </w:rPr>
      </w:pPr>
      <w:r>
        <w:rPr>
          <w:rFonts w:hint="eastAsia" w:hAnsi="宋体"/>
        </w:rPr>
        <w:t>香紫苏内酯的质量百分含量,按式</w:t>
      </w:r>
      <w:r>
        <w:rPr>
          <w:rFonts w:hint="eastAsia" w:hAnsi="宋体"/>
          <w:lang w:val="en-US" w:eastAsia="zh-CN"/>
        </w:rPr>
        <w:t>(1)</w:t>
      </w:r>
      <w:r>
        <w:rPr>
          <w:rFonts w:hint="eastAsia" w:hAnsi="宋体"/>
        </w:rPr>
        <w:t xml:space="preserve">计算:                                                         </w:t>
      </w:r>
    </w:p>
    <w:p w14:paraId="3169FB25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 w:firstLineChars="200"/>
        <w:textAlignment w:val="auto"/>
        <w:rPr>
          <w:rFonts w:hint="default" w:hAnsi="宋体" w:eastAsia="宋体"/>
          <w:lang w:val="en-US"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hint="eastAsia" w:hAnsi="宋体"/>
            </w:rPr>
            <m:t>Ci %</m:t>
          </m:r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hint="eastAsia" w:hAnsi="宋体"/>
                </w:rPr>
                <m:t>Ai / S′s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hint="eastAsia" w:hAnsi="宋体"/>
                </w:rPr>
                <m:t xml:space="preserve"> As / S′i  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hint="eastAsia" w:ascii="Cambria Math" w:hAnsi="Cambria Math"/>
              <w:lang w:val="en-US" w:eastAsia="zh-CN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hint="eastAsia" w:hAnsi="宋体"/>
                </w:rPr>
                <m:t>Ws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hint="eastAsia" w:hAnsi="宋体"/>
                </w:rPr>
                <m:t xml:space="preserve"> W  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hint="eastAsia" w:ascii="Cambria Math" w:hAnsi="Cambria Math"/>
              <w:lang w:val="en-US" w:eastAsia="zh-CN"/>
            </w:rPr>
            <m:t>×</m:t>
          </m:r>
          <m:r>
            <m:rPr/>
            <w:rPr>
              <w:rFonts w:hint="default" w:ascii="Cambria Math" w:hAnsi="Cambria Math"/>
              <w:lang w:val="en-US" w:eastAsia="zh-CN"/>
            </w:rPr>
            <m:t>100%       ..............................(1)</m:t>
          </m:r>
        </m:oMath>
      </m:oMathPara>
    </w:p>
    <w:p w14:paraId="40823E1F">
      <w:pPr>
        <w:pStyle w:val="25"/>
        <w:rPr>
          <w:rFonts w:hint="eastAsia" w:hAnsi="宋体"/>
        </w:rPr>
      </w:pPr>
      <w:r>
        <w:rPr>
          <w:rFonts w:hint="eastAsia" w:hAnsi="宋体"/>
        </w:rPr>
        <w:t>式中:Ws 、W 分别为内标物和待分析样品质量</w:t>
      </w:r>
    </w:p>
    <w:p w14:paraId="32BDA776">
      <w:pPr>
        <w:pStyle w:val="25"/>
        <w:rPr>
          <w:rFonts w:hint="eastAsia" w:hAnsi="宋体"/>
        </w:rPr>
      </w:pPr>
      <w:r>
        <w:rPr>
          <w:rFonts w:hint="eastAsia" w:hAnsi="宋体"/>
        </w:rPr>
        <w:t xml:space="preserve">Ai 、As 为被测组分和内标物的峰面积 </w:t>
      </w:r>
    </w:p>
    <w:p w14:paraId="7735D5CC">
      <w:pPr>
        <w:pStyle w:val="25"/>
        <w:rPr>
          <w:rFonts w:hint="eastAsia" w:hAnsi="宋体"/>
        </w:rPr>
      </w:pPr>
      <w:r>
        <w:rPr>
          <w:rFonts w:hint="eastAsia" w:hAnsi="宋体"/>
        </w:rPr>
        <w:t>S′i 、S′s 为标准物质和内标物的相对质量响应值</w:t>
      </w:r>
    </w:p>
    <w:p w14:paraId="4765ACEC">
      <w:pPr>
        <w:pStyle w:val="25"/>
        <w:rPr>
          <w:rFonts w:hint="eastAsia" w:hAnsi="宋体"/>
        </w:rPr>
      </w:pPr>
      <w:r>
        <w:rPr>
          <w:rFonts w:hint="eastAsia" w:hAnsi="宋体"/>
        </w:rPr>
        <w:t>S′i=标准物质质量/标准物质峰面积</w:t>
      </w:r>
    </w:p>
    <w:p w14:paraId="36566120">
      <w:pPr>
        <w:pStyle w:val="25"/>
        <w:rPr>
          <w:rFonts w:hint="eastAsia" w:hAnsi="宋体"/>
        </w:rPr>
      </w:pPr>
      <w:r>
        <w:rPr>
          <w:rFonts w:hint="eastAsia" w:hAnsi="宋体"/>
        </w:rPr>
        <w:t>S′s=内标物质质量/内标物质峰面积</w:t>
      </w:r>
    </w:p>
    <w:p w14:paraId="52A38C1A">
      <w:pPr>
        <w:pStyle w:val="25"/>
        <w:ind w:firstLine="0" w:firstLineChars="0"/>
        <w:rPr>
          <w:rFonts w:hint="eastAsia" w:ascii="黑体" w:hAnsi="黑体" w:eastAsia="黑体" w:cs="黑体"/>
          <w:szCs w:val="22"/>
        </w:rPr>
      </w:pPr>
      <w:r>
        <w:rPr>
          <w:rFonts w:hint="eastAsia" w:ascii="黑体" w:hAnsi="黑体" w:eastAsia="黑体" w:cs="黑体"/>
          <w:szCs w:val="22"/>
        </w:rPr>
        <w:t>A.1.5 允许差</w:t>
      </w:r>
    </w:p>
    <w:p w14:paraId="0EEDAEBC">
      <w:pPr>
        <w:pStyle w:val="25"/>
        <w:rPr>
          <w:rFonts w:hint="eastAsia" w:hAnsi="宋体"/>
        </w:rPr>
      </w:pPr>
      <w:r>
        <w:rPr>
          <w:rFonts w:hint="eastAsia" w:hAnsi="宋体"/>
        </w:rPr>
        <w:t>香紫苏内酯质量分数的两次平行测定结果之差，应不大于 0.5%，取其算术平均值作为测定结果。保留两位有效数字。</w:t>
      </w:r>
    </w:p>
    <w:p w14:paraId="680BA8D5">
      <w:pPr>
        <w:pStyle w:val="25"/>
        <w:ind w:firstLine="0" w:firstLineChars="0"/>
        <w:rPr>
          <w:rFonts w:hAnsi="宋体"/>
        </w:rPr>
      </w:pPr>
    </w:p>
    <w:p w14:paraId="52FB8297">
      <w:pPr>
        <w:pStyle w:val="86"/>
        <w:numPr>
          <w:ilvl w:val="0"/>
          <w:numId w:val="0"/>
        </w:numPr>
      </w:pPr>
      <w:r>
        <w:rPr>
          <w:rFonts w:hint="eastAsia"/>
        </w:rPr>
        <w:t>附 录 B</w:t>
      </w:r>
      <w:r>
        <w:br w:type="textWrapping"/>
      </w:r>
      <w:r>
        <w:rPr>
          <w:rFonts w:hint="eastAsia"/>
        </w:rPr>
        <w:t>（资料性附录）</w:t>
      </w:r>
      <w:r>
        <w:br w:type="textWrapping"/>
      </w:r>
      <w:r>
        <w:rPr>
          <w:rFonts w:hint="eastAsia"/>
        </w:rPr>
        <w:t>香紫苏内酯典型气相色谱图（内标法）</w:t>
      </w:r>
    </w:p>
    <w:p w14:paraId="55526A1E">
      <w:pPr>
        <w:pStyle w:val="25"/>
        <w:ind w:firstLine="0" w:firstLineChars="0"/>
        <w:rPr>
          <w:rFonts w:hint="eastAsia" w:ascii="黑体" w:eastAsia="黑体"/>
          <w:szCs w:val="21"/>
        </w:rPr>
      </w:pPr>
    </w:p>
    <w:p w14:paraId="38B77711">
      <w:pPr>
        <w:pStyle w:val="25"/>
        <w:ind w:firstLine="0" w:firstLineChars="0"/>
        <w:jc w:val="center"/>
        <w:rPr>
          <w:rFonts w:ascii="黑体" w:eastAsia="黑体"/>
          <w:szCs w:val="21"/>
        </w:rPr>
      </w:pPr>
      <w:r>
        <w:rPr>
          <w:rFonts w:ascii="黑体" w:eastAsia="黑体"/>
          <w:szCs w:val="21"/>
        </w:rPr>
        <w:drawing>
          <wp:inline distT="0" distB="0" distL="114300" distR="114300">
            <wp:extent cx="5480685" cy="2961640"/>
            <wp:effectExtent l="0" t="0" r="5715" b="1016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296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249FE">
      <w:pPr>
        <w:pStyle w:val="25"/>
        <w:jc w:val="left"/>
        <w:rPr>
          <w:rFonts w:hint="eastAsia"/>
        </w:rPr>
      </w:pPr>
      <w:r>
        <w:rPr>
          <w:rFonts w:hint="eastAsia"/>
        </w:rPr>
        <w:t>说明：</w:t>
      </w:r>
    </w:p>
    <w:p w14:paraId="51CF93DF">
      <w:pPr>
        <w:pStyle w:val="25"/>
        <w:jc w:val="left"/>
        <w:rPr>
          <w:rFonts w:hint="eastAsia"/>
        </w:rPr>
      </w:pPr>
      <w:r>
        <w:rPr>
          <w:rFonts w:hint="eastAsia"/>
        </w:rPr>
        <w:t>1.乙醇；</w:t>
      </w:r>
    </w:p>
    <w:p w14:paraId="52C74A27">
      <w:pPr>
        <w:pStyle w:val="25"/>
        <w:jc w:val="left"/>
        <w:rPr>
          <w:rFonts w:hint="eastAsia"/>
        </w:rPr>
      </w:pPr>
      <w:r>
        <w:rPr>
          <w:rFonts w:hint="eastAsia"/>
        </w:rPr>
        <w:t>2.邻苯二甲酸二丁酯；</w:t>
      </w:r>
    </w:p>
    <w:p w14:paraId="1C8A6702">
      <w:pPr>
        <w:pStyle w:val="25"/>
        <w:jc w:val="left"/>
        <w:rPr>
          <w:rFonts w:hint="eastAsia"/>
        </w:rPr>
      </w:pPr>
      <w:r>
        <w:rPr>
          <w:rFonts w:hint="eastAsia"/>
        </w:rPr>
        <w:t>3.香紫苏内酯。</w:t>
      </w:r>
    </w:p>
    <w:p w14:paraId="458C8A6D">
      <w:pPr>
        <w:pStyle w:val="25"/>
        <w:ind w:firstLine="0" w:firstLineChars="0"/>
        <w:rPr>
          <w:rFonts w:hint="eastAsia" w:ascii="黑体" w:eastAsia="黑体"/>
          <w:szCs w:val="21"/>
        </w:rPr>
      </w:pPr>
    </w:p>
    <w:p w14:paraId="1B61F4EB">
      <w:pPr>
        <w:pStyle w:val="25"/>
        <w:ind w:firstLine="0" w:firstLineChars="0"/>
        <w:rPr>
          <w:rFonts w:hint="eastAsia"/>
          <w:szCs w:val="22"/>
        </w:rPr>
      </w:pPr>
    </w:p>
    <w:p w14:paraId="69D98AE0">
      <w:pPr>
        <w:pStyle w:val="25"/>
        <w:jc w:val="center"/>
      </w:pPr>
      <w:r>
        <w:rPr>
          <w:rFonts w:hint="eastAsia"/>
          <w:szCs w:val="22"/>
        </w:rPr>
        <w:t>图B.1 香紫苏内酯气相色谱图</w:t>
      </w:r>
    </w:p>
    <w:p w14:paraId="5359AE9A">
      <w:pPr>
        <w:pStyle w:val="25"/>
        <w:jc w:val="center"/>
      </w:pPr>
      <w:r>
        <w:rPr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80645</wp:posOffset>
                </wp:positionV>
                <wp:extent cx="2209800" cy="635"/>
                <wp:effectExtent l="0" t="0" r="0" b="0"/>
                <wp:wrapNone/>
                <wp:docPr id="7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158.35pt;margin-top:6.35pt;height:0.05pt;width:174pt;z-index:251665408;mso-width-relative:page;mso-height-relative:page;" filled="f" stroked="t" coordsize="21600,21600" o:gfxdata="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NyHrzW&#10;AAAACQEAAA8AAAAAAAAAAQAgAAAAIgAAAGRycy9kb3ducmV2LnhtbFBLAQIUABQAAAAIAIdO4kCQ&#10;NByn6QEAAN4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599BE95">
      <w:pPr>
        <w:pStyle w:val="25"/>
        <w:jc w:val="center"/>
      </w:pPr>
    </w:p>
    <w:sectPr>
      <w:headerReference r:id="rId5" w:type="default"/>
      <w:footerReference r:id="rId6" w:type="default"/>
      <w:pgSz w:w="11906" w:h="16838"/>
      <w:pgMar w:top="567" w:right="1134" w:bottom="1134" w:left="1418" w:header="1418" w:footer="113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89C28">
    <w:pPr>
      <w:pStyle w:val="46"/>
      <w:rPr>
        <w:rStyle w:val="37"/>
      </w:rPr>
    </w:pPr>
    <w:r>
      <w:fldChar w:fldCharType="begin"/>
    </w:r>
    <w:r>
      <w:rPr>
        <w:rStyle w:val="37"/>
      </w:rPr>
      <w:instrText xml:space="preserve">PAGE  </w:instrText>
    </w:r>
    <w:r>
      <w:fldChar w:fldCharType="separate"/>
    </w:r>
    <w:r>
      <w:rPr>
        <w:rStyle w:val="37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E625F">
    <w:pPr>
      <w:pStyle w:val="46"/>
    </w:pP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80762">
    <w:pPr>
      <w:pStyle w:val="47"/>
      <w:rPr>
        <w:rFonts w:hint="eastAsia" w:hAnsi="黑体"/>
      </w:rPr>
    </w:pPr>
    <w:r>
      <w:rPr>
        <w:rFonts w:hAnsi="黑体"/>
      </w:rPr>
      <w:t>T/CAFFCI XXXX—20</w:t>
    </w:r>
    <w:r>
      <w:rPr>
        <w:rFonts w:hint="eastAsia" w:hAnsi="黑体"/>
      </w:rPr>
      <w:t>24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CD447">
    <w:pPr>
      <w:pStyle w:val="47"/>
    </w:pPr>
    <w:r>
      <w:rPr>
        <w:rFonts w:hint="eastAsia"/>
      </w:rPr>
      <w:t>T</w:t>
    </w:r>
    <w:r>
      <w:t>/</w:t>
    </w:r>
    <w:r>
      <w:rPr>
        <w:rFonts w:hint="eastAsia"/>
      </w:rPr>
      <w:t>CAFFCIXXXX</w:t>
    </w:r>
    <w:r>
      <w:t>—</w:t>
    </w:r>
    <w:r>
      <w:rPr>
        <w:rFonts w:hint="eastAsia"/>
      </w:rPr>
      <w:t>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lowerLetter"/>
      <w:suff w:val="nothing"/>
      <w:lvlText w:val="%1）"/>
      <w:lvlJc w:val="left"/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pStyle w:val="68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2">
    <w:nsid w:val="00000003"/>
    <w:multiLevelType w:val="multilevel"/>
    <w:tmpl w:val="00000003"/>
    <w:lvl w:ilvl="0" w:tentative="0">
      <w:start w:val="1"/>
      <w:numFmt w:val="decimal"/>
      <w:pStyle w:val="48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outline w:val="0"/>
        <w:spacing w:val="0"/>
        <w:kern w:val="0"/>
        <w:position w:val="0"/>
        <w:sz w:val="21"/>
        <w:szCs w:val="21"/>
        <w:u w:val="no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00000004"/>
    <w:multiLevelType w:val="multilevel"/>
    <w:tmpl w:val="00000004"/>
    <w:lvl w:ilvl="0" w:tentative="0">
      <w:start w:val="1"/>
      <w:numFmt w:val="upperLetter"/>
      <w:pStyle w:val="100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1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>
    <w:nsid w:val="00000005"/>
    <w:multiLevelType w:val="multilevel"/>
    <w:tmpl w:val="00000005"/>
    <w:lvl w:ilvl="0" w:tentative="0">
      <w:start w:val="1"/>
      <w:numFmt w:val="none"/>
      <w:pStyle w:val="51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2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3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>
    <w:nsid w:val="00000006"/>
    <w:multiLevelType w:val="multilevel"/>
    <w:tmpl w:val="00000006"/>
    <w:lvl w:ilvl="0" w:tentative="0">
      <w:start w:val="1"/>
      <w:numFmt w:val="decimal"/>
      <w:pStyle w:val="26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00000007"/>
    <w:multiLevelType w:val="multilevel"/>
    <w:tmpl w:val="00000007"/>
    <w:lvl w:ilvl="0" w:tentative="0">
      <w:start w:val="1"/>
      <w:numFmt w:val="lowerLetter"/>
      <w:pStyle w:val="62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7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4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00000008"/>
    <w:multiLevelType w:val="multilevel"/>
    <w:tmpl w:val="00000008"/>
    <w:lvl w:ilvl="0" w:tentative="0">
      <w:start w:val="1"/>
      <w:numFmt w:val="upperLetter"/>
      <w:pStyle w:val="88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9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00000009"/>
    <w:multiLevelType w:val="multilevel"/>
    <w:tmpl w:val="00000009"/>
    <w:lvl w:ilvl="0" w:tentative="0">
      <w:start w:val="1"/>
      <w:numFmt w:val="upperLetter"/>
      <w:pStyle w:val="86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0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0000000A"/>
    <w:multiLevelType w:val="multilevel"/>
    <w:tmpl w:val="0000000A"/>
    <w:lvl w:ilvl="0" w:tentative="0">
      <w:start w:val="1"/>
      <w:numFmt w:val="lowerLetter"/>
      <w:pStyle w:val="107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7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0"/>
  <w:hyphenationZone w:val="36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3Nzk2Nzk2NjZkYWNlMTA2NmE3OThlYzU5M2U0ZDcifQ=="/>
  </w:docVars>
  <w:rsids>
    <w:rsidRoot w:val="00172A27"/>
    <w:rsid w:val="000000F8"/>
    <w:rsid w:val="0002744A"/>
    <w:rsid w:val="0005589D"/>
    <w:rsid w:val="00072343"/>
    <w:rsid w:val="000840BE"/>
    <w:rsid w:val="000E7362"/>
    <w:rsid w:val="00103356"/>
    <w:rsid w:val="00125D47"/>
    <w:rsid w:val="00131354"/>
    <w:rsid w:val="00170A2F"/>
    <w:rsid w:val="001A24CF"/>
    <w:rsid w:val="001B34AC"/>
    <w:rsid w:val="001E352D"/>
    <w:rsid w:val="001E76F1"/>
    <w:rsid w:val="00291C57"/>
    <w:rsid w:val="0037159A"/>
    <w:rsid w:val="003822B0"/>
    <w:rsid w:val="00391687"/>
    <w:rsid w:val="00391E0D"/>
    <w:rsid w:val="00393C31"/>
    <w:rsid w:val="003C0122"/>
    <w:rsid w:val="003D0A28"/>
    <w:rsid w:val="004008E3"/>
    <w:rsid w:val="00411085"/>
    <w:rsid w:val="0041415F"/>
    <w:rsid w:val="00460973"/>
    <w:rsid w:val="00463587"/>
    <w:rsid w:val="00472355"/>
    <w:rsid w:val="004A1AD0"/>
    <w:rsid w:val="004D2490"/>
    <w:rsid w:val="005547E6"/>
    <w:rsid w:val="00586B09"/>
    <w:rsid w:val="00587629"/>
    <w:rsid w:val="0059112C"/>
    <w:rsid w:val="005D26FB"/>
    <w:rsid w:val="005E65FC"/>
    <w:rsid w:val="00623AA2"/>
    <w:rsid w:val="00631A37"/>
    <w:rsid w:val="00634E46"/>
    <w:rsid w:val="00665355"/>
    <w:rsid w:val="00666B79"/>
    <w:rsid w:val="006828F1"/>
    <w:rsid w:val="0069184C"/>
    <w:rsid w:val="006A1D77"/>
    <w:rsid w:val="006B118E"/>
    <w:rsid w:val="006C7FCF"/>
    <w:rsid w:val="007311D5"/>
    <w:rsid w:val="007524B9"/>
    <w:rsid w:val="007600DF"/>
    <w:rsid w:val="007613B0"/>
    <w:rsid w:val="007777DA"/>
    <w:rsid w:val="007C331B"/>
    <w:rsid w:val="007E3643"/>
    <w:rsid w:val="00801994"/>
    <w:rsid w:val="008C0F74"/>
    <w:rsid w:val="00900A56"/>
    <w:rsid w:val="00905812"/>
    <w:rsid w:val="00907A32"/>
    <w:rsid w:val="00914851"/>
    <w:rsid w:val="0096036A"/>
    <w:rsid w:val="009F6BB2"/>
    <w:rsid w:val="00A0414A"/>
    <w:rsid w:val="00A2104F"/>
    <w:rsid w:val="00A27A28"/>
    <w:rsid w:val="00A43CE4"/>
    <w:rsid w:val="00A61132"/>
    <w:rsid w:val="00AC294F"/>
    <w:rsid w:val="00AF6F0B"/>
    <w:rsid w:val="00B03D74"/>
    <w:rsid w:val="00B347FA"/>
    <w:rsid w:val="00B50DF7"/>
    <w:rsid w:val="00B66B31"/>
    <w:rsid w:val="00B95AA6"/>
    <w:rsid w:val="00C50775"/>
    <w:rsid w:val="00C51249"/>
    <w:rsid w:val="00C70504"/>
    <w:rsid w:val="00C904F3"/>
    <w:rsid w:val="00CA19A3"/>
    <w:rsid w:val="00CA5BB4"/>
    <w:rsid w:val="00CD715A"/>
    <w:rsid w:val="00CE3237"/>
    <w:rsid w:val="00CE585E"/>
    <w:rsid w:val="00CF557B"/>
    <w:rsid w:val="00D076B9"/>
    <w:rsid w:val="00D23B7E"/>
    <w:rsid w:val="00D364B9"/>
    <w:rsid w:val="00D554B4"/>
    <w:rsid w:val="00D86C89"/>
    <w:rsid w:val="00D96C3E"/>
    <w:rsid w:val="00DA4D77"/>
    <w:rsid w:val="00DD707B"/>
    <w:rsid w:val="00E14D9F"/>
    <w:rsid w:val="00E21612"/>
    <w:rsid w:val="00E654D8"/>
    <w:rsid w:val="00E72690"/>
    <w:rsid w:val="00E9725C"/>
    <w:rsid w:val="00F12FA2"/>
    <w:rsid w:val="00F13C3C"/>
    <w:rsid w:val="00F2136F"/>
    <w:rsid w:val="00F721BF"/>
    <w:rsid w:val="00FA0C13"/>
    <w:rsid w:val="00FC5520"/>
    <w:rsid w:val="00FE4CBC"/>
    <w:rsid w:val="00FF230D"/>
    <w:rsid w:val="10EE3E97"/>
    <w:rsid w:val="123D5579"/>
    <w:rsid w:val="13714C34"/>
    <w:rsid w:val="14874FFC"/>
    <w:rsid w:val="1E6D287C"/>
    <w:rsid w:val="21E142FB"/>
    <w:rsid w:val="23056009"/>
    <w:rsid w:val="266434D4"/>
    <w:rsid w:val="268849EB"/>
    <w:rsid w:val="293C42FB"/>
    <w:rsid w:val="29FA75AF"/>
    <w:rsid w:val="2B463960"/>
    <w:rsid w:val="2C337FFC"/>
    <w:rsid w:val="37965A1A"/>
    <w:rsid w:val="389C4DC0"/>
    <w:rsid w:val="3A53138A"/>
    <w:rsid w:val="3CB56FFA"/>
    <w:rsid w:val="412C5F5D"/>
    <w:rsid w:val="48152302"/>
    <w:rsid w:val="4CE4197A"/>
    <w:rsid w:val="4EC80F1E"/>
    <w:rsid w:val="554B663D"/>
    <w:rsid w:val="55C64504"/>
    <w:rsid w:val="5A56726E"/>
    <w:rsid w:val="5D871C3F"/>
    <w:rsid w:val="5FDD1DE0"/>
    <w:rsid w:val="62942AEC"/>
    <w:rsid w:val="6535670A"/>
    <w:rsid w:val="6A9D599D"/>
    <w:rsid w:val="71591F05"/>
    <w:rsid w:val="737871C6"/>
    <w:rsid w:val="76653179"/>
    <w:rsid w:val="7F6F77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/>
      <w:spacing w:before="260" w:after="260" w:line="416" w:lineRule="auto"/>
      <w:textAlignment w:val="auto"/>
      <w:outlineLvl w:val="2"/>
    </w:pPr>
    <w:rPr>
      <w:b/>
      <w:bCs/>
      <w:sz w:val="32"/>
      <w:szCs w:val="32"/>
    </w:rPr>
  </w:style>
  <w:style w:type="character" w:default="1" w:styleId="35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33">
    <w:name w:val="Normal Table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 w:hAnsi="Times New Roman" w:eastAsia="宋体" w:cs="Times New Roman"/>
      <w:szCs w:val="21"/>
    </w:rPr>
  </w:style>
  <w:style w:type="paragraph" w:styleId="4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6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7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8">
    <w:name w:val="Document Map"/>
    <w:basedOn w:val="1"/>
    <w:qFormat/>
    <w:uiPriority w:val="0"/>
    <w:pPr>
      <w:shd w:val="clear" w:color="auto" w:fill="000080"/>
    </w:pPr>
    <w:rPr>
      <w:rFonts w:ascii="Times New Roman" w:hAnsi="Times New Roman" w:eastAsia="宋体" w:cs="Times New Roman"/>
    </w:rPr>
  </w:style>
  <w:style w:type="paragraph" w:styleId="9">
    <w:name w:val="annotation text"/>
    <w:basedOn w:val="1"/>
    <w:qFormat/>
    <w:uiPriority w:val="0"/>
    <w:pPr>
      <w:jc w:val="left"/>
    </w:pPr>
    <w:rPr>
      <w:rFonts w:ascii="Times New Roman" w:hAnsi="Times New Roman" w:eastAsia="宋体" w:cs="Times New Roman"/>
    </w:rPr>
  </w:style>
  <w:style w:type="paragraph" w:styleId="10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1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2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 w:hAnsi="Times New Roman" w:eastAsia="宋体" w:cs="Times New Roman"/>
      <w:szCs w:val="21"/>
    </w:rPr>
  </w:style>
  <w:style w:type="paragraph" w:styleId="13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 w:hAnsi="Times New Roman" w:eastAsia="宋体" w:cs="Times New Roman"/>
      <w:szCs w:val="21"/>
    </w:rPr>
  </w:style>
  <w:style w:type="paragraph" w:styleId="14">
    <w:name w:val="Plain Text"/>
    <w:basedOn w:val="1"/>
    <w:qFormat/>
    <w:uiPriority w:val="0"/>
    <w:pPr>
      <w:spacing w:line="288" w:lineRule="auto"/>
    </w:pPr>
    <w:rPr>
      <w:rFonts w:ascii="宋体" w:hAnsi="Courier New" w:eastAsia="宋体" w:cs="Times New Roman"/>
      <w:szCs w:val="20"/>
    </w:rPr>
  </w:style>
  <w:style w:type="paragraph" w:styleId="15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 w:hAnsi="Times New Roman" w:eastAsia="宋体" w:cs="Times New Roman"/>
      <w:szCs w:val="21"/>
    </w:rPr>
  </w:style>
  <w:style w:type="paragraph" w:styleId="16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7">
    <w:name w:val="endnote text"/>
    <w:basedOn w:val="1"/>
    <w:qFormat/>
    <w:uiPriority w:val="0"/>
    <w:pPr>
      <w:snapToGrid w:val="0"/>
      <w:jc w:val="left"/>
    </w:pPr>
    <w:rPr>
      <w:rFonts w:ascii="Times New Roman" w:hAnsi="Times New Roman" w:eastAsia="宋体" w:cs="Times New Roman"/>
    </w:rPr>
  </w:style>
  <w:style w:type="paragraph" w:styleId="18">
    <w:name w:val="Balloon Text"/>
    <w:basedOn w:val="1"/>
    <w:link w:val="4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9">
    <w:name w:val="footer"/>
    <w:basedOn w:val="1"/>
    <w:qFormat/>
    <w:uiPriority w:val="0"/>
    <w:pPr>
      <w:snapToGrid w:val="0"/>
      <w:ind w:right="210" w:rightChars="100"/>
      <w:jc w:val="right"/>
    </w:pPr>
    <w:rPr>
      <w:rFonts w:ascii="Times New Roman" w:hAnsi="Times New Roman" w:eastAsia="宋体" w:cs="Times New Roman"/>
      <w:sz w:val="18"/>
      <w:szCs w:val="18"/>
    </w:rPr>
  </w:style>
  <w:style w:type="paragraph" w:styleId="20">
    <w:name w:val="header"/>
    <w:basedOn w:val="1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21">
    <w:name w:val="toc 1"/>
    <w:basedOn w:val="1"/>
    <w:next w:val="1"/>
    <w:qFormat/>
    <w:uiPriority w:val="0"/>
    <w:pPr>
      <w:tabs>
        <w:tab w:val="right" w:leader="dot" w:pos="9242"/>
      </w:tabs>
      <w:spacing w:beforeLines="25" w:afterLines="25"/>
      <w:jc w:val="left"/>
    </w:pPr>
    <w:rPr>
      <w:rFonts w:ascii="宋体" w:hAnsi="Times New Roman" w:eastAsia="宋体" w:cs="Times New Roman"/>
      <w:szCs w:val="21"/>
    </w:rPr>
  </w:style>
  <w:style w:type="paragraph" w:styleId="22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 w:hAnsi="Times New Roman" w:eastAsia="宋体" w:cs="Times New Roman"/>
      <w:szCs w:val="21"/>
    </w:rPr>
  </w:style>
  <w:style w:type="paragraph" w:styleId="23">
    <w:name w:val="index heading"/>
    <w:basedOn w:val="1"/>
    <w:next w:val="24"/>
    <w:qFormat/>
    <w:uiPriority w:val="0"/>
    <w:pPr>
      <w:spacing w:before="120" w:after="120"/>
      <w:jc w:val="center"/>
    </w:pPr>
    <w:rPr>
      <w:rFonts w:ascii="Calibri" w:hAnsi="Calibri" w:eastAsia="宋体" w:cs="Times New Roman"/>
      <w:b/>
      <w:bCs/>
      <w:iCs/>
      <w:szCs w:val="20"/>
    </w:rPr>
  </w:style>
  <w:style w:type="paragraph" w:styleId="24">
    <w:name w:val="index 1"/>
    <w:basedOn w:val="1"/>
    <w:next w:val="25"/>
    <w:qFormat/>
    <w:uiPriority w:val="0"/>
    <w:pPr>
      <w:tabs>
        <w:tab w:val="right" w:leader="dot" w:pos="9299"/>
      </w:tabs>
      <w:jc w:val="left"/>
    </w:pPr>
    <w:rPr>
      <w:rFonts w:ascii="宋体" w:hAnsi="Times New Roman" w:eastAsia="宋体" w:cs="Times New Roman"/>
      <w:szCs w:val="21"/>
    </w:rPr>
  </w:style>
  <w:style w:type="paragraph" w:customStyle="1" w:styleId="25">
    <w:name w:val="段"/>
    <w:link w:val="4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6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 w:hAnsi="Times New Roman" w:eastAsia="宋体" w:cs="Times New Roman"/>
      <w:sz w:val="18"/>
      <w:szCs w:val="18"/>
    </w:rPr>
  </w:style>
  <w:style w:type="paragraph" w:styleId="27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 w:hAnsi="Times New Roman" w:eastAsia="宋体" w:cs="Times New Roman"/>
      <w:szCs w:val="21"/>
    </w:rPr>
  </w:style>
  <w:style w:type="paragraph" w:styleId="2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30">
    <w:name w:val="toc 2"/>
    <w:basedOn w:val="1"/>
    <w:next w:val="1"/>
    <w:qFormat/>
    <w:uiPriority w:val="0"/>
    <w:pPr>
      <w:tabs>
        <w:tab w:val="right" w:leader="dot" w:pos="9242"/>
      </w:tabs>
    </w:pPr>
    <w:rPr>
      <w:rFonts w:ascii="宋体" w:hAnsi="Times New Roman" w:eastAsia="宋体" w:cs="Times New Roman"/>
      <w:szCs w:val="21"/>
    </w:rPr>
  </w:style>
  <w:style w:type="paragraph" w:styleId="31">
    <w:name w:val="toc 9"/>
    <w:basedOn w:val="1"/>
    <w:next w:val="1"/>
    <w:qFormat/>
    <w:uiPriority w:val="0"/>
    <w:pPr>
      <w:ind w:left="1470"/>
      <w:jc w:val="left"/>
    </w:pPr>
    <w:rPr>
      <w:rFonts w:ascii="Times New Roman" w:hAnsi="Times New Roman" w:eastAsia="宋体" w:cs="Times New Roman"/>
      <w:sz w:val="20"/>
      <w:szCs w:val="20"/>
    </w:rPr>
  </w:style>
  <w:style w:type="paragraph" w:styleId="32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 w:eastAsia="宋体" w:cs="Times New Roman"/>
      <w:sz w:val="20"/>
      <w:szCs w:val="20"/>
    </w:rPr>
  </w:style>
  <w:style w:type="table" w:styleId="34">
    <w:name w:val="Table Grid"/>
    <w:basedOn w:val="3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6">
    <w:name w:val="endnote reference"/>
    <w:qFormat/>
    <w:uiPriority w:val="0"/>
    <w:rPr>
      <w:rFonts w:ascii="Times New Roman" w:hAnsi="Times New Roman" w:eastAsia="宋体" w:cs="Times New Roman"/>
      <w:vertAlign w:val="superscript"/>
    </w:rPr>
  </w:style>
  <w:style w:type="character" w:styleId="37">
    <w:name w:val="page number"/>
    <w:qFormat/>
    <w:uiPriority w:val="0"/>
    <w:rPr>
      <w:rFonts w:ascii="Times New Roman" w:hAnsi="Times New Roman" w:eastAsia="宋体" w:cs="Times New Roman"/>
      <w:sz w:val="18"/>
    </w:rPr>
  </w:style>
  <w:style w:type="character" w:styleId="38">
    <w:name w:val="FollowedHyperlink"/>
    <w:qFormat/>
    <w:uiPriority w:val="0"/>
    <w:rPr>
      <w:rFonts w:ascii="Times New Roman" w:hAnsi="Times New Roman" w:eastAsia="宋体" w:cs="Times New Roman"/>
      <w:color w:val="800080"/>
      <w:u w:val="single"/>
    </w:rPr>
  </w:style>
  <w:style w:type="character" w:styleId="39">
    <w:name w:val="Hyperlink"/>
    <w:qFormat/>
    <w:uiPriority w:val="0"/>
    <w:rPr>
      <w:rFonts w:ascii="Times New Roman" w:hAnsi="Times New Roman" w:eastAsia="宋体" w:cs="Times New Roman"/>
      <w:color w:val="0000FF"/>
      <w:spacing w:val="0"/>
      <w:w w:val="100"/>
      <w:szCs w:val="21"/>
      <w:u w:val="single"/>
    </w:rPr>
  </w:style>
  <w:style w:type="character" w:styleId="40">
    <w:name w:val="annotation reference"/>
    <w:qFormat/>
    <w:uiPriority w:val="0"/>
    <w:rPr>
      <w:rFonts w:ascii="Times New Roman" w:hAnsi="Times New Roman" w:eastAsia="宋体" w:cs="Times New Roman"/>
      <w:sz w:val="21"/>
      <w:szCs w:val="21"/>
    </w:rPr>
  </w:style>
  <w:style w:type="character" w:styleId="41">
    <w:name w:val="footnote reference"/>
    <w:qFormat/>
    <w:uiPriority w:val="0"/>
    <w:rPr>
      <w:rFonts w:ascii="Times New Roman" w:hAnsi="Times New Roman" w:eastAsia="宋体" w:cs="Times New Roman"/>
      <w:vertAlign w:val="superscript"/>
    </w:rPr>
  </w:style>
  <w:style w:type="character" w:customStyle="1" w:styleId="42">
    <w:name w:val="批注框文本 字符"/>
    <w:link w:val="1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43">
    <w:name w:val="段 Char"/>
    <w:link w:val="25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4">
    <w:name w:val="一级条标题"/>
    <w:next w:val="25"/>
    <w:link w:val="45"/>
    <w:qFormat/>
    <w:uiPriority w:val="0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45">
    <w:name w:val="一级条标题 Char"/>
    <w:link w:val="44"/>
    <w:qFormat/>
    <w:uiPriority w:val="0"/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6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8">
    <w:name w:val="章标题"/>
    <w:next w:val="25"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9">
    <w:name w:val="二级条标题"/>
    <w:basedOn w:val="44"/>
    <w:next w:val="25"/>
    <w:qFormat/>
    <w:uiPriority w:val="0"/>
    <w:pPr>
      <w:numPr>
        <w:ilvl w:val="0"/>
        <w:numId w:val="0"/>
      </w:numPr>
      <w:spacing w:before="50" w:after="50"/>
      <w:outlineLvl w:val="3"/>
    </w:pPr>
    <w:rPr>
      <w:rFonts w:ascii="Times New Roman" w:hAnsi="Times New Roman" w:eastAsia="宋体" w:cs="Times New Roman"/>
    </w:rPr>
  </w:style>
  <w:style w:type="paragraph" w:customStyle="1" w:styleId="50">
    <w:name w:val="封面标准号2"/>
    <w:qFormat/>
    <w:uiPriority w:val="0"/>
    <w:pPr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51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3">
    <w:name w:val="目次、标准名称标题"/>
    <w:basedOn w:val="1"/>
    <w:next w:val="25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54">
    <w:name w:val="三级条标题"/>
    <w:basedOn w:val="49"/>
    <w:next w:val="25"/>
    <w:qFormat/>
    <w:uiPriority w:val="0"/>
    <w:pPr>
      <w:outlineLvl w:val="4"/>
    </w:pPr>
    <w:rPr>
      <w:rFonts w:ascii="Times New Roman" w:hAnsi="Times New Roman" w:eastAsia="宋体" w:cs="Times New Roman"/>
    </w:rPr>
  </w:style>
  <w:style w:type="paragraph" w:customStyle="1" w:styleId="55">
    <w:name w:val="示例"/>
    <w:next w:val="56"/>
    <w:qFormat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7">
    <w:name w:val="数字编号列项（二级）"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四级条标题"/>
    <w:basedOn w:val="54"/>
    <w:next w:val="25"/>
    <w:qFormat/>
    <w:uiPriority w:val="0"/>
    <w:pPr>
      <w:outlineLvl w:val="5"/>
    </w:pPr>
    <w:rPr>
      <w:rFonts w:ascii="Times New Roman" w:hAnsi="Times New Roman" w:eastAsia="宋体" w:cs="Times New Roman"/>
    </w:rPr>
  </w:style>
  <w:style w:type="paragraph" w:customStyle="1" w:styleId="59">
    <w:name w:val="五级条标题"/>
    <w:basedOn w:val="58"/>
    <w:next w:val="25"/>
    <w:qFormat/>
    <w:uiPriority w:val="0"/>
    <w:pPr>
      <w:outlineLvl w:val="6"/>
    </w:pPr>
    <w:rPr>
      <w:rFonts w:ascii="Times New Roman" w:hAnsi="Times New Roman" w:eastAsia="宋体" w:cs="Times New Roman"/>
    </w:rPr>
  </w:style>
  <w:style w:type="paragraph" w:customStyle="1" w:styleId="60">
    <w:name w:val="注："/>
    <w:next w:val="25"/>
    <w:qFormat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1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2">
    <w:name w:val="字母编号列项（一级）"/>
    <w:qFormat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3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 w:hAnsi="Times New Roman" w:eastAsia="宋体" w:cs="Times New Roman"/>
      <w:szCs w:val="21"/>
    </w:rPr>
  </w:style>
  <w:style w:type="paragraph" w:customStyle="1" w:styleId="64">
    <w:name w:val="编号列项（三级）"/>
    <w:qFormat/>
    <w:uiPriority w:val="0"/>
    <w:pPr>
      <w:numPr>
        <w:ilvl w:val="2"/>
        <w:numId w:val="4"/>
      </w:numPr>
      <w:tabs>
        <w:tab w:val="left" w:pos="840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示例×："/>
    <w:basedOn w:val="48"/>
    <w:qFormat/>
    <w:uiPriority w:val="0"/>
    <w:pPr>
      <w:numPr>
        <w:ilvl w:val="0"/>
        <w:numId w:val="0"/>
      </w:numPr>
      <w:ind w:firstLine="363"/>
      <w:outlineLvl w:val="9"/>
    </w:pPr>
    <w:rPr>
      <w:rFonts w:ascii="宋体" w:hAnsi="Times New Roman" w:eastAsia="宋体" w:cs="Times New Roman"/>
      <w:sz w:val="18"/>
      <w:szCs w:val="18"/>
    </w:rPr>
  </w:style>
  <w:style w:type="paragraph" w:customStyle="1" w:styleId="66">
    <w:name w:val="二级无"/>
    <w:basedOn w:val="49"/>
    <w:qFormat/>
    <w:uiPriority w:val="0"/>
    <w:rPr>
      <w:rFonts w:ascii="宋体" w:hAnsi="Times New Roman" w:eastAsia="宋体" w:cs="Times New Roman"/>
    </w:rPr>
  </w:style>
  <w:style w:type="paragraph" w:customStyle="1" w:styleId="67">
    <w:name w:val="注：（正文）"/>
    <w:basedOn w:val="60"/>
    <w:next w:val="25"/>
    <w:qFormat/>
    <w:uiPriority w:val="0"/>
    <w:rPr>
      <w:rFonts w:ascii="Times New Roman" w:hAnsi="Times New Roman" w:eastAsia="宋体" w:cs="Times New Roman"/>
    </w:rPr>
  </w:style>
  <w:style w:type="paragraph" w:customStyle="1" w:styleId="68">
    <w:name w:val="注×：（正文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9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70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71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2">
    <w:name w:val="标准书眉_偶数页"/>
    <w:basedOn w:val="47"/>
    <w:next w:val="1"/>
    <w:qFormat/>
    <w:uiPriority w:val="0"/>
    <w:pPr>
      <w:jc w:val="left"/>
    </w:pPr>
    <w:rPr>
      <w:rFonts w:ascii="Times New Roman" w:hAnsi="Times New Roman" w:eastAsia="宋体" w:cs="Times New Roman"/>
    </w:rPr>
  </w:style>
  <w:style w:type="paragraph" w:customStyle="1" w:styleId="7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4">
    <w:name w:val="参考文献"/>
    <w:basedOn w:val="1"/>
    <w:next w:val="25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75">
    <w:name w:val="参考文献、索引标题"/>
    <w:basedOn w:val="1"/>
    <w:next w:val="25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76">
    <w:name w:val="发布部门"/>
    <w:next w:val="25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7">
    <w:name w:val="发布日期"/>
    <w:qFormat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8">
    <w:name w:val="封面标准代替信息"/>
    <w:qFormat/>
    <w:uiPriority w:val="0"/>
    <w:pPr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0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1">
    <w:name w:val="封面标准英文名称"/>
    <w:basedOn w:val="80"/>
    <w:qFormat/>
    <w:uiPriority w:val="0"/>
    <w:pPr>
      <w:spacing w:before="370" w:line="400" w:lineRule="exact"/>
    </w:pPr>
    <w:rPr>
      <w:rFonts w:ascii="Times New Roman" w:hAnsi="Times New Roman" w:eastAsia="宋体" w:cs="Times New Roman"/>
      <w:sz w:val="28"/>
      <w:szCs w:val="28"/>
    </w:rPr>
  </w:style>
  <w:style w:type="paragraph" w:customStyle="1" w:styleId="82">
    <w:name w:val="封面一致性程度标识"/>
    <w:basedOn w:val="81"/>
    <w:qFormat/>
    <w:uiPriority w:val="0"/>
    <w:pPr>
      <w:spacing w:before="440"/>
    </w:pPr>
    <w:rPr>
      <w:rFonts w:ascii="宋体" w:hAnsi="Times New Roman" w:eastAsia="宋体" w:cs="Times New Roman"/>
    </w:rPr>
  </w:style>
  <w:style w:type="paragraph" w:customStyle="1" w:styleId="83">
    <w:name w:val="封面标准文稿类别"/>
    <w:basedOn w:val="82"/>
    <w:qFormat/>
    <w:uiPriority w:val="0"/>
    <w:pPr>
      <w:spacing w:after="160" w:line="240" w:lineRule="auto"/>
    </w:pPr>
    <w:rPr>
      <w:rFonts w:ascii="Times New Roman" w:hAnsi="Times New Roman" w:eastAsia="宋体" w:cs="Times New Roman"/>
      <w:sz w:val="24"/>
    </w:rPr>
  </w:style>
  <w:style w:type="paragraph" w:customStyle="1" w:styleId="84">
    <w:name w:val="封面标准文稿编辑信息"/>
    <w:basedOn w:val="83"/>
    <w:qFormat/>
    <w:uiPriority w:val="0"/>
    <w:pPr>
      <w:spacing w:before="180" w:line="180" w:lineRule="exact"/>
    </w:pPr>
    <w:rPr>
      <w:rFonts w:ascii="Times New Roman" w:hAnsi="Times New Roman" w:eastAsia="宋体" w:cs="Times New Roman"/>
      <w:sz w:val="21"/>
    </w:rPr>
  </w:style>
  <w:style w:type="paragraph" w:customStyle="1" w:styleId="85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6">
    <w:name w:val="附录标识"/>
    <w:basedOn w:val="1"/>
    <w:next w:val="25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87">
    <w:name w:val="附录标题"/>
    <w:basedOn w:val="25"/>
    <w:next w:val="25"/>
    <w:qFormat/>
    <w:uiPriority w:val="0"/>
    <w:pPr>
      <w:ind w:firstLine="0" w:firstLineChars="0"/>
      <w:jc w:val="center"/>
    </w:pPr>
    <w:rPr>
      <w:rFonts w:ascii="黑体" w:hAnsi="Times New Roman" w:eastAsia="黑体" w:cs="Times New Roman"/>
    </w:rPr>
  </w:style>
  <w:style w:type="paragraph" w:customStyle="1" w:styleId="88">
    <w:name w:val="附录表标号"/>
    <w:basedOn w:val="1"/>
    <w:next w:val="25"/>
    <w:qFormat/>
    <w:uiPriority w:val="0"/>
    <w:pPr>
      <w:numPr>
        <w:ilvl w:val="0"/>
        <w:numId w:val="7"/>
      </w:numPr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</w:rPr>
  </w:style>
  <w:style w:type="paragraph" w:customStyle="1" w:styleId="89">
    <w:name w:val="附录表标题"/>
    <w:basedOn w:val="1"/>
    <w:next w:val="25"/>
    <w:qFormat/>
    <w:uiPriority w:val="0"/>
    <w:pPr>
      <w:numPr>
        <w:ilvl w:val="1"/>
        <w:numId w:val="7"/>
      </w:numPr>
      <w:tabs>
        <w:tab w:val="left" w:pos="0"/>
        <w:tab w:val="left" w:pos="180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90">
    <w:name w:val="附录二级条标题"/>
    <w:basedOn w:val="1"/>
    <w:next w:val="25"/>
    <w:qFormat/>
    <w:uiPriority w:val="0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91">
    <w:name w:val="附录二级无"/>
    <w:basedOn w:val="90"/>
    <w:qFormat/>
    <w:uiPriority w:val="0"/>
    <w:pPr>
      <w:tabs>
        <w:tab w:val="clear" w:pos="360"/>
      </w:tabs>
    </w:pPr>
    <w:rPr>
      <w:rFonts w:ascii="宋体" w:hAnsi="Times New Roman" w:eastAsia="宋体" w:cs="Times New Roman"/>
      <w:szCs w:val="21"/>
    </w:rPr>
  </w:style>
  <w:style w:type="paragraph" w:customStyle="1" w:styleId="92">
    <w:name w:val="附录公式"/>
    <w:basedOn w:val="25"/>
    <w:next w:val="25"/>
    <w:link w:val="93"/>
    <w:qFormat/>
    <w:uiPriority w:val="0"/>
    <w:rPr>
      <w:rFonts w:ascii="Times New Roman" w:hAnsi="Times New Roman" w:eastAsia="宋体" w:cs="Times New Roman"/>
    </w:rPr>
  </w:style>
  <w:style w:type="character" w:customStyle="1" w:styleId="93">
    <w:name w:val="附录公式 Char"/>
    <w:link w:val="92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4">
    <w:name w:val="附录公式编号制表符"/>
    <w:basedOn w:val="1"/>
    <w:next w:val="25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eastAsia="宋体" w:cs="Times New Roman"/>
      <w:kern w:val="0"/>
      <w:szCs w:val="20"/>
    </w:rPr>
  </w:style>
  <w:style w:type="paragraph" w:customStyle="1" w:styleId="95">
    <w:name w:val="附录三级条标题"/>
    <w:basedOn w:val="90"/>
    <w:next w:val="25"/>
    <w:qFormat/>
    <w:uiPriority w:val="0"/>
    <w:pPr>
      <w:numPr>
        <w:ilvl w:val="0"/>
        <w:numId w:val="0"/>
      </w:numPr>
      <w:outlineLvl w:val="4"/>
    </w:pPr>
    <w:rPr>
      <w:rFonts w:ascii="Times New Roman" w:hAnsi="Times New Roman" w:eastAsia="宋体" w:cs="Times New Roman"/>
    </w:rPr>
  </w:style>
  <w:style w:type="paragraph" w:customStyle="1" w:styleId="96">
    <w:name w:val="附录三级无"/>
    <w:basedOn w:val="95"/>
    <w:qFormat/>
    <w:uiPriority w:val="0"/>
    <w:pPr>
      <w:tabs>
        <w:tab w:val="clear" w:pos="360"/>
      </w:tabs>
    </w:pPr>
    <w:rPr>
      <w:rFonts w:ascii="宋体" w:hAnsi="Times New Roman" w:eastAsia="宋体" w:cs="Times New Roman"/>
      <w:szCs w:val="21"/>
    </w:rPr>
  </w:style>
  <w:style w:type="paragraph" w:customStyle="1" w:styleId="97">
    <w:name w:val="附录数字编号列项（二级）"/>
    <w:qFormat/>
    <w:uiPriority w:val="0"/>
    <w:pPr>
      <w:numPr>
        <w:ilvl w:val="1"/>
        <w:numId w:val="8"/>
      </w:numPr>
      <w:tabs>
        <w:tab w:val="left" w:pos="839"/>
        <w:tab w:val="clear" w:pos="840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8">
    <w:name w:val="附录四级条标题"/>
    <w:basedOn w:val="95"/>
    <w:next w:val="25"/>
    <w:qFormat/>
    <w:uiPriority w:val="0"/>
    <w:pPr>
      <w:outlineLvl w:val="5"/>
    </w:pPr>
    <w:rPr>
      <w:rFonts w:ascii="Times New Roman" w:hAnsi="Times New Roman" w:eastAsia="宋体" w:cs="Times New Roman"/>
    </w:rPr>
  </w:style>
  <w:style w:type="paragraph" w:customStyle="1" w:styleId="99">
    <w:name w:val="附录四级无"/>
    <w:basedOn w:val="98"/>
    <w:qFormat/>
    <w:uiPriority w:val="0"/>
    <w:rPr>
      <w:rFonts w:ascii="宋体" w:hAnsi="Times New Roman" w:eastAsia="宋体" w:cs="Times New Roman"/>
      <w:szCs w:val="21"/>
    </w:rPr>
  </w:style>
  <w:style w:type="paragraph" w:customStyle="1" w:styleId="100">
    <w:name w:val="附录图标号"/>
    <w:basedOn w:val="1"/>
    <w:qFormat/>
    <w:uiPriority w:val="0"/>
    <w:pPr>
      <w:keepNext/>
      <w:pageBreakBefore/>
      <w:widowControl/>
      <w:numPr>
        <w:ilvl w:val="0"/>
        <w:numId w:val="9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</w:rPr>
  </w:style>
  <w:style w:type="paragraph" w:customStyle="1" w:styleId="101">
    <w:name w:val="附录图标题"/>
    <w:basedOn w:val="1"/>
    <w:next w:val="25"/>
    <w:qFormat/>
    <w:uiPriority w:val="0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102">
    <w:name w:val="附录五级条标题"/>
    <w:basedOn w:val="98"/>
    <w:next w:val="25"/>
    <w:qFormat/>
    <w:uiPriority w:val="0"/>
    <w:pPr>
      <w:outlineLvl w:val="6"/>
    </w:pPr>
    <w:rPr>
      <w:rFonts w:ascii="Times New Roman" w:hAnsi="Times New Roman" w:eastAsia="宋体" w:cs="Times New Roman"/>
    </w:rPr>
  </w:style>
  <w:style w:type="paragraph" w:customStyle="1" w:styleId="103">
    <w:name w:val="附录五级无"/>
    <w:basedOn w:val="102"/>
    <w:qFormat/>
    <w:uiPriority w:val="0"/>
    <w:rPr>
      <w:rFonts w:ascii="宋体" w:hAnsi="Times New Roman" w:eastAsia="宋体" w:cs="Times New Roman"/>
      <w:szCs w:val="21"/>
    </w:rPr>
  </w:style>
  <w:style w:type="paragraph" w:customStyle="1" w:styleId="104">
    <w:name w:val="附录章标题"/>
    <w:next w:val="25"/>
    <w:qFormat/>
    <w:uiPriority w:val="0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5">
    <w:name w:val="附录一级条标题"/>
    <w:basedOn w:val="104"/>
    <w:next w:val="25"/>
    <w:qFormat/>
    <w:uiPriority w:val="0"/>
    <w:pPr>
      <w:numPr>
        <w:ilvl w:val="0"/>
        <w:numId w:val="0"/>
      </w:numPr>
      <w:autoSpaceDN w:val="0"/>
      <w:spacing w:beforeLines="50" w:afterLines="50"/>
      <w:outlineLvl w:val="2"/>
    </w:pPr>
    <w:rPr>
      <w:rFonts w:ascii="Times New Roman" w:hAnsi="Times New Roman" w:eastAsia="宋体" w:cs="Times New Roman"/>
    </w:rPr>
  </w:style>
  <w:style w:type="paragraph" w:customStyle="1" w:styleId="106">
    <w:name w:val="附录一级无"/>
    <w:basedOn w:val="105"/>
    <w:qFormat/>
    <w:uiPriority w:val="0"/>
    <w:pPr>
      <w:tabs>
        <w:tab w:val="clear" w:pos="360"/>
      </w:tabs>
    </w:pPr>
    <w:rPr>
      <w:rFonts w:ascii="宋体" w:hAnsi="Times New Roman" w:eastAsia="宋体" w:cs="Times New Roman"/>
      <w:szCs w:val="21"/>
    </w:rPr>
  </w:style>
  <w:style w:type="paragraph" w:customStyle="1" w:styleId="107">
    <w:name w:val="附录字母编号列项（一级）"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 w:hAnsi="Times New Roman" w:eastAsia="宋体" w:cs="Times New Roman"/>
      <w:kern w:val="0"/>
      <w:szCs w:val="20"/>
    </w:rPr>
  </w:style>
  <w:style w:type="paragraph" w:customStyle="1" w:styleId="109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0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1">
    <w:name w:val="其他标准标志"/>
    <w:basedOn w:val="69"/>
    <w:qFormat/>
    <w:uiPriority w:val="0"/>
    <w:rPr>
      <w:rFonts w:ascii="Times New Roman" w:hAnsi="Times New Roman" w:eastAsia="宋体" w:cs="Times New Roman"/>
      <w:w w:val="130"/>
    </w:rPr>
  </w:style>
  <w:style w:type="paragraph" w:customStyle="1" w:styleId="112">
    <w:name w:val="其他标准称谓"/>
    <w:next w:val="1"/>
    <w:qFormat/>
    <w:uiPriority w:val="0"/>
    <w:pPr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13">
    <w:name w:val="其他发布部门"/>
    <w:basedOn w:val="76"/>
    <w:qFormat/>
    <w:uiPriority w:val="0"/>
    <w:pPr>
      <w:spacing w:line="0" w:lineRule="atLeast"/>
    </w:pPr>
    <w:rPr>
      <w:rFonts w:ascii="黑体" w:hAnsi="Times New Roman" w:eastAsia="黑体" w:cs="Times New Roman"/>
      <w:b w:val="0"/>
    </w:rPr>
  </w:style>
  <w:style w:type="paragraph" w:customStyle="1" w:styleId="114">
    <w:name w:val="前言、引言标题"/>
    <w:next w:val="25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5">
    <w:name w:val="三级无"/>
    <w:basedOn w:val="54"/>
    <w:qFormat/>
    <w:uiPriority w:val="0"/>
    <w:rPr>
      <w:rFonts w:ascii="宋体" w:hAnsi="Times New Roman" w:eastAsia="宋体" w:cs="Times New Roman"/>
    </w:rPr>
  </w:style>
  <w:style w:type="paragraph" w:customStyle="1" w:styleId="116">
    <w:name w:val="实施日期"/>
    <w:basedOn w:val="77"/>
    <w:qFormat/>
    <w:uiPriority w:val="0"/>
    <w:pPr>
      <w:jc w:val="right"/>
    </w:pPr>
    <w:rPr>
      <w:rFonts w:ascii="Times New Roman" w:hAnsi="Times New Roman" w:eastAsia="宋体" w:cs="Times New Roman"/>
    </w:rPr>
  </w:style>
  <w:style w:type="paragraph" w:customStyle="1" w:styleId="117">
    <w:name w:val="示例后文字"/>
    <w:basedOn w:val="25"/>
    <w:next w:val="25"/>
    <w:qFormat/>
    <w:uiPriority w:val="0"/>
    <w:pPr>
      <w:ind w:firstLine="360"/>
    </w:pPr>
    <w:rPr>
      <w:rFonts w:ascii="Times New Roman" w:hAnsi="Times New Roman" w:eastAsia="宋体" w:cs="Times New Roman"/>
      <w:sz w:val="18"/>
    </w:rPr>
  </w:style>
  <w:style w:type="paragraph" w:customStyle="1" w:styleId="118">
    <w:name w:val="首示例"/>
    <w:next w:val="25"/>
    <w:link w:val="119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9">
    <w:name w:val="首示例 Char"/>
    <w:link w:val="118"/>
    <w:qFormat/>
    <w:uiPriority w:val="0"/>
    <w:rPr>
      <w:rFonts w:ascii="宋体" w:hAnsi="宋体" w:eastAsia="宋体" w:cs="Times New Roman"/>
      <w:kern w:val="2"/>
      <w:sz w:val="18"/>
      <w:szCs w:val="18"/>
    </w:rPr>
  </w:style>
  <w:style w:type="paragraph" w:customStyle="1" w:styleId="120">
    <w:name w:val="四级无"/>
    <w:basedOn w:val="58"/>
    <w:qFormat/>
    <w:uiPriority w:val="0"/>
    <w:rPr>
      <w:rFonts w:ascii="宋体" w:hAnsi="Times New Roman" w:eastAsia="宋体" w:cs="Times New Roman"/>
    </w:rPr>
  </w:style>
  <w:style w:type="paragraph" w:customStyle="1" w:styleId="121">
    <w:name w:val="条文脚注"/>
    <w:basedOn w:val="26"/>
    <w:qFormat/>
    <w:uiPriority w:val="0"/>
    <w:pPr>
      <w:numPr>
        <w:ilvl w:val="0"/>
        <w:numId w:val="0"/>
      </w:numPr>
      <w:jc w:val="both"/>
    </w:pPr>
    <w:rPr>
      <w:rFonts w:ascii="Times New Roman" w:hAnsi="Times New Roman" w:eastAsia="宋体" w:cs="Times New Roman"/>
    </w:rPr>
  </w:style>
  <w:style w:type="paragraph" w:customStyle="1" w:styleId="122">
    <w:name w:val="图标脚注说明"/>
    <w:basedOn w:val="25"/>
    <w:qFormat/>
    <w:uiPriority w:val="0"/>
    <w:pPr>
      <w:ind w:left="840" w:hanging="420" w:firstLineChars="0"/>
    </w:pPr>
    <w:rPr>
      <w:rFonts w:ascii="Times New Roman" w:hAnsi="Times New Roman" w:eastAsia="宋体" w:cs="Times New Roman"/>
      <w:sz w:val="18"/>
      <w:szCs w:val="18"/>
    </w:rPr>
  </w:style>
  <w:style w:type="paragraph" w:customStyle="1" w:styleId="123">
    <w:name w:val="图表脚注说明"/>
    <w:basedOn w:val="1"/>
    <w:qFormat/>
    <w:uiPriority w:val="0"/>
    <w:pPr>
      <w:ind w:left="544" w:hanging="181"/>
    </w:pPr>
    <w:rPr>
      <w:rFonts w:ascii="宋体" w:hAnsi="Times New Roman" w:eastAsia="宋体" w:cs="Times New Roman"/>
      <w:sz w:val="18"/>
      <w:szCs w:val="18"/>
    </w:rPr>
  </w:style>
  <w:style w:type="paragraph" w:customStyle="1" w:styleId="124">
    <w:name w:val="图的脚注"/>
    <w:next w:val="25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5">
    <w:name w:val="文献分类号"/>
    <w:qFormat/>
    <w:uiPriority w:val="0"/>
    <w:pPr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6">
    <w:name w:val="五级无"/>
    <w:basedOn w:val="59"/>
    <w:qFormat/>
    <w:uiPriority w:val="0"/>
    <w:rPr>
      <w:rFonts w:ascii="宋体" w:hAnsi="Times New Roman" w:eastAsia="宋体" w:cs="Times New Roman"/>
    </w:rPr>
  </w:style>
  <w:style w:type="paragraph" w:customStyle="1" w:styleId="127">
    <w:name w:val="一级无"/>
    <w:basedOn w:val="44"/>
    <w:qFormat/>
    <w:uiPriority w:val="0"/>
    <w:rPr>
      <w:rFonts w:ascii="宋体" w:hAnsi="Times New Roman" w:eastAsia="宋体" w:cs="Times New Roman"/>
    </w:rPr>
  </w:style>
  <w:style w:type="paragraph" w:customStyle="1" w:styleId="128">
    <w:name w:val="正文表标题"/>
    <w:next w:val="25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9">
    <w:name w:val="正文公式编号制表符"/>
    <w:basedOn w:val="25"/>
    <w:next w:val="25"/>
    <w:qFormat/>
    <w:uiPriority w:val="0"/>
    <w:pPr>
      <w:ind w:firstLine="0" w:firstLineChars="0"/>
    </w:pPr>
    <w:rPr>
      <w:rFonts w:ascii="Times New Roman" w:hAnsi="Times New Roman" w:eastAsia="宋体" w:cs="Times New Roman"/>
    </w:rPr>
  </w:style>
  <w:style w:type="paragraph" w:customStyle="1" w:styleId="130">
    <w:name w:val="正文图标题"/>
    <w:next w:val="25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1">
    <w:name w:val="终结线"/>
    <w:basedOn w:val="1"/>
    <w:qFormat/>
    <w:uiPriority w:val="0"/>
    <w:rPr>
      <w:rFonts w:ascii="Times New Roman" w:hAnsi="Times New Roman" w:eastAsia="宋体" w:cs="Times New Roman"/>
    </w:rPr>
  </w:style>
  <w:style w:type="paragraph" w:customStyle="1" w:styleId="132">
    <w:name w:val="其他发布日期"/>
    <w:basedOn w:val="77"/>
    <w:qFormat/>
    <w:uiPriority w:val="0"/>
    <w:rPr>
      <w:rFonts w:ascii="Times New Roman" w:hAnsi="Times New Roman" w:eastAsia="宋体" w:cs="Times New Roman"/>
    </w:rPr>
  </w:style>
  <w:style w:type="paragraph" w:customStyle="1" w:styleId="133">
    <w:name w:val="其他实施日期"/>
    <w:basedOn w:val="116"/>
    <w:qFormat/>
    <w:uiPriority w:val="0"/>
    <w:rPr>
      <w:rFonts w:ascii="Times New Roman" w:hAnsi="Times New Roman" w:eastAsia="宋体" w:cs="Times New Roman"/>
    </w:rPr>
  </w:style>
  <w:style w:type="paragraph" w:customStyle="1" w:styleId="134">
    <w:name w:val="封面标准名称2"/>
    <w:basedOn w:val="80"/>
    <w:qFormat/>
    <w:uiPriority w:val="0"/>
    <w:pPr>
      <w:spacing w:beforeLines="630"/>
    </w:pPr>
    <w:rPr>
      <w:rFonts w:ascii="Times New Roman" w:hAnsi="Times New Roman" w:eastAsia="宋体" w:cs="Times New Roman"/>
    </w:rPr>
  </w:style>
  <w:style w:type="paragraph" w:customStyle="1" w:styleId="135">
    <w:name w:val="封面标准英文名称2"/>
    <w:basedOn w:val="81"/>
    <w:qFormat/>
    <w:uiPriority w:val="0"/>
    <w:rPr>
      <w:rFonts w:ascii="Times New Roman" w:hAnsi="Times New Roman" w:eastAsia="宋体" w:cs="Times New Roman"/>
    </w:rPr>
  </w:style>
  <w:style w:type="paragraph" w:customStyle="1" w:styleId="136">
    <w:name w:val="封面一致性程度标识2"/>
    <w:basedOn w:val="82"/>
    <w:qFormat/>
    <w:uiPriority w:val="0"/>
    <w:rPr>
      <w:rFonts w:ascii="Times New Roman" w:hAnsi="Times New Roman" w:eastAsia="宋体" w:cs="Times New Roman"/>
    </w:rPr>
  </w:style>
  <w:style w:type="paragraph" w:customStyle="1" w:styleId="137">
    <w:name w:val="封面标准文稿类别2"/>
    <w:basedOn w:val="83"/>
    <w:qFormat/>
    <w:uiPriority w:val="0"/>
    <w:rPr>
      <w:rFonts w:ascii="Times New Roman" w:hAnsi="Times New Roman" w:eastAsia="宋体" w:cs="Times New Roman"/>
    </w:rPr>
  </w:style>
  <w:style w:type="paragraph" w:customStyle="1" w:styleId="138">
    <w:name w:val="封面标准文稿编辑信息2"/>
    <w:basedOn w:val="84"/>
    <w:qFormat/>
    <w:uiPriority w:val="0"/>
    <w:rPr>
      <w:rFonts w:ascii="Times New Roman" w:hAnsi="Times New Roman" w:eastAsia="宋体" w:cs="Times New Roman"/>
    </w:rPr>
  </w:style>
  <w:style w:type="paragraph" w:customStyle="1" w:styleId="139">
    <w:name w:val="标准表题"/>
    <w:basedOn w:val="1"/>
    <w:next w:val="25"/>
    <w:qFormat/>
    <w:uiPriority w:val="0"/>
    <w:pPr>
      <w:widowControl/>
      <w:jc w:val="center"/>
    </w:pPr>
    <w:rPr>
      <w:rFonts w:ascii="黑体" w:hAnsi="Times New Roman" w:eastAsia="黑体" w:cs="Times New Roman"/>
      <w:kern w:val="21"/>
    </w:rPr>
  </w:style>
  <w:style w:type="character" w:customStyle="1" w:styleId="140">
    <w:name w:val="发布"/>
    <w:qFormat/>
    <w:uiPriority w:val="0"/>
    <w:rPr>
      <w:rFonts w:ascii="黑体" w:hAnsi="Times New Roman" w:eastAsia="黑体" w:cs="Times New Roman"/>
      <w:spacing w:val="85"/>
      <w:w w:val="100"/>
      <w:position w:val="3"/>
      <w:sz w:val="28"/>
      <w:szCs w:val="28"/>
    </w:rPr>
  </w:style>
  <w:style w:type="paragraph" w:customStyle="1" w:styleId="14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7</Pages>
  <Words>2262</Words>
  <Characters>2699</Characters>
  <Lines>21</Lines>
  <Paragraphs>5</Paragraphs>
  <TotalTime>11</TotalTime>
  <ScaleCrop>false</ScaleCrop>
  <LinksUpToDate>false</LinksUpToDate>
  <CharactersWithSpaces>2910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2024-08-13T09:52:00Z</dcterms:created>
  <dc:creator>USER</dc:creator>
  <cp:lastModifiedBy>... ...</cp:lastModifiedBy>
  <cp:lastPrinted>2024-11-18T09:40:44Z</cp:lastPrinted>
  <dcterms:modified xsi:type="dcterms:W3CDTF">2024-11-18T09:52:18Z</dcterms:modified>
  <dc:title>标准名称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560EE6BE68B44A5FB8801089E7ACCF94_13</vt:lpwstr>
  </property>
</Properties>
</file>